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030" w:type="dxa"/>
        <w:jc w:val="left"/>
        <w:tblInd w:w="70" w:type="dxa"/>
        <w:tblCellMar>
          <w:top w:w="0" w:type="dxa"/>
          <w:left w:w="70" w:type="dxa"/>
          <w:bottom w:w="0" w:type="dxa"/>
          <w:right w:w="70" w:type="dxa"/>
        </w:tblCellMar>
        <w:tblLook w:val="0000" w:noHBand="0" w:noVBand="0" w:firstColumn="0" w:lastRow="0" w:lastColumn="0" w:firstRow="0"/>
      </w:tblPr>
      <w:tblGrid>
        <w:gridCol w:w="6030"/>
      </w:tblGrid>
      <w:tr>
        <w:trPr/>
        <w:tc>
          <w:tcPr>
            <w:tcW w:w="6030" w:type="dxa"/>
            <w:tcBorders/>
          </w:tcPr>
          <w:p>
            <w:pPr>
              <w:pStyle w:val="Normal"/>
              <w:spacing w:lineRule="auto" w:line="276"/>
              <w:jc w:val="center"/>
              <w:rPr>
                <w:rFonts w:ascii="Cambria" w:hAnsi="Cambria" w:asciiTheme="majorHAnsi" w:hAnsiTheme="majorHAnsi"/>
                <w:lang w:val="el-GR"/>
              </w:rPr>
            </w:pPr>
            <w:r>
              <w:rPr/>
              <w:drawing>
                <wp:inline distT="0" distB="0" distL="0" distR="0">
                  <wp:extent cx="639445" cy="5905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0" t="0" r="7376" b="4661"/>
                          <a:stretch>
                            <a:fillRect/>
                          </a:stretch>
                        </pic:blipFill>
                        <pic:spPr bwMode="auto">
                          <a:xfrm>
                            <a:off x="0" y="0"/>
                            <a:ext cx="639445" cy="590550"/>
                          </a:xfrm>
                          <a:prstGeom prst="rect">
                            <a:avLst/>
                          </a:prstGeom>
                        </pic:spPr>
                      </pic:pic>
                    </a:graphicData>
                  </a:graphic>
                </wp:inline>
              </w:drawing>
            </w:r>
          </w:p>
        </w:tc>
      </w:tr>
      <w:tr>
        <w:trPr/>
        <w:tc>
          <w:tcPr>
            <w:tcW w:w="6030" w:type="dxa"/>
            <w:tcBorders/>
          </w:tcPr>
          <w:p>
            <w:pPr>
              <w:pStyle w:val="Normal"/>
              <w:spacing w:lineRule="auto" w:line="276"/>
              <w:jc w:val="center"/>
              <w:rPr>
                <w:rFonts w:ascii="Georgia" w:hAnsi="Georgia"/>
                <w:sz w:val="22"/>
                <w:lang w:val="el-GR"/>
              </w:rPr>
            </w:pPr>
            <w:r>
              <w:rPr>
                <w:rFonts w:ascii="Georgia" w:hAnsi="Georgia"/>
                <w:b/>
                <w:sz w:val="22"/>
                <w:szCs w:val="22"/>
                <w:lang w:val="el-GR"/>
              </w:rPr>
              <w:t>ΠΡΕΣΒΕΙΑ THΣ ΕΛΛΑΔOΣ ΣΤΟ ΒΟΥΚΟΥΡΕΣΤΙ</w:t>
            </w:r>
          </w:p>
          <w:p>
            <w:pPr>
              <w:pStyle w:val="Heading1"/>
              <w:spacing w:lineRule="auto" w:line="276" w:before="0" w:after="0"/>
              <w:jc w:val="center"/>
              <w:rPr>
                <w:rFonts w:ascii="Georgia" w:hAnsi="Georgia"/>
                <w:sz w:val="22"/>
                <w:szCs w:val="22"/>
                <w:lang w:val="el-GR"/>
              </w:rPr>
            </w:pPr>
            <w:r>
              <w:rPr>
                <w:rFonts w:cs="Times New Roman" w:ascii="Georgia" w:hAnsi="Georgia"/>
                <w:sz w:val="22"/>
                <w:szCs w:val="22"/>
                <w:lang w:val="el-GR"/>
              </w:rPr>
              <w:t>ΓΡΑΦΕΙΟ ΟΙΚΟΝΟΜΙΚΩΝ &amp; ΕΜΠΟΡΙΚΩΝ ΥΠΟΘΕΣΕΩΝ</w:t>
            </w:r>
          </w:p>
          <w:p>
            <w:pPr>
              <w:pStyle w:val="Normal"/>
              <w:spacing w:lineRule="auto" w:line="276"/>
              <w:jc w:val="center"/>
              <w:rPr>
                <w:rFonts w:ascii="Cambria" w:hAnsi="Cambria" w:asciiTheme="majorHAnsi" w:hAnsiTheme="majorHAnsi"/>
                <w:i/>
                <w:i/>
                <w:iCs/>
                <w:sz w:val="22"/>
                <w:lang w:val="el-GR"/>
              </w:rPr>
            </w:pPr>
            <w:r>
              <w:rPr>
                <w:rFonts w:asciiTheme="majorHAnsi" w:hAnsiTheme="majorHAnsi" w:ascii="Cambria" w:hAnsi="Cambria"/>
                <w:i/>
                <w:iCs/>
                <w:sz w:val="22"/>
                <w:lang w:val="el-GR"/>
              </w:rPr>
            </w:r>
          </w:p>
        </w:tc>
      </w:tr>
    </w:tbl>
    <w:p>
      <w:pPr>
        <w:pStyle w:val="Normal"/>
        <w:rPr>
          <w:rFonts w:eastAsia="Cambria"/>
          <w:lang w:val="el-GR"/>
        </w:rPr>
      </w:pPr>
      <w:r>
        <w:rPr>
          <w:rFonts w:eastAsia="Cambria"/>
          <w:lang w:val="el-GR"/>
        </w:rPr>
      </w:r>
    </w:p>
    <w:p>
      <w:pPr>
        <w:pStyle w:val="Normal"/>
        <w:spacing w:lineRule="auto" w:line="276"/>
        <w:jc w:val="right"/>
        <w:rPr>
          <w:rFonts w:ascii="Georgia" w:hAnsi="Georgia"/>
        </w:rPr>
      </w:pPr>
      <w:r>
        <w:rPr>
          <w:rFonts w:eastAsia="Cambria"/>
          <w:lang w:val="el-GR"/>
        </w:rPr>
        <w:t xml:space="preserve">                                                                                                             </w:t>
      </w:r>
      <w:r>
        <w:rPr>
          <w:rFonts w:ascii="Georgia" w:hAnsi="Georgia"/>
          <w:b/>
          <w:sz w:val="22"/>
          <w:szCs w:val="22"/>
          <w:lang w:val="el-GR"/>
        </w:rPr>
        <w:t>ΑΔΙΑΒΑΘΜΗΤΟ</w:t>
      </w:r>
    </w:p>
    <w:p>
      <w:pPr>
        <w:pStyle w:val="Normal"/>
        <w:spacing w:lineRule="auto" w:line="276"/>
        <w:jc w:val="right"/>
        <w:rPr>
          <w:rFonts w:ascii="Georgia" w:hAnsi="Georgia"/>
        </w:rPr>
      </w:pPr>
      <w:r>
        <w:rPr>
          <w:rFonts w:ascii="Georgia" w:hAnsi="Georgia"/>
          <w:b/>
          <w:sz w:val="22"/>
          <w:szCs w:val="22"/>
          <w:lang w:val="el-GR"/>
        </w:rPr>
        <w:t>ΚΑΝΟΝΙΚΟ</w:t>
      </w:r>
    </w:p>
    <w:tbl>
      <w:tblPr>
        <w:tblW w:w="3392" w:type="dxa"/>
        <w:jc w:val="right"/>
        <w:tblInd w:w="0" w:type="dxa"/>
        <w:tblCellMar>
          <w:top w:w="0" w:type="dxa"/>
          <w:left w:w="108" w:type="dxa"/>
          <w:bottom w:w="0" w:type="dxa"/>
          <w:right w:w="108" w:type="dxa"/>
        </w:tblCellMar>
        <w:tblLook w:val="01e0" w:noHBand="0" w:noVBand="0" w:firstColumn="1" w:lastRow="1" w:lastColumn="1" w:firstRow="1"/>
      </w:tblPr>
      <w:tblGrid>
        <w:gridCol w:w="3392"/>
      </w:tblGrid>
      <w:tr>
        <w:trPr>
          <w:trHeight w:val="900" w:hRule="atLeast"/>
        </w:trPr>
        <w:tc>
          <w:tcPr>
            <w:tcW w:w="3392" w:type="dxa"/>
            <w:tcBorders/>
          </w:tcPr>
          <w:p>
            <w:pPr>
              <w:pStyle w:val="Normal"/>
              <w:spacing w:lineRule="auto" w:line="276"/>
              <w:rPr>
                <w:rFonts w:ascii="Cambria" w:hAnsi="Cambria" w:asciiTheme="majorHAnsi" w:hAnsiTheme="majorHAnsi"/>
                <w:sz w:val="22"/>
                <w:lang w:val="el-GR"/>
              </w:rPr>
            </w:pPr>
            <w:r>
              <w:rPr>
                <w:rFonts w:asciiTheme="majorHAnsi" w:hAnsiTheme="majorHAnsi" w:ascii="Cambria" w:hAnsi="Cambria"/>
                <w:sz w:val="22"/>
                <w:lang w:val="el-GR"/>
              </w:rPr>
            </w:r>
          </w:p>
          <w:p>
            <w:pPr>
              <w:pStyle w:val="Normal"/>
              <w:spacing w:lineRule="auto" w:line="276"/>
              <w:jc w:val="both"/>
              <w:rPr>
                <w:rFonts w:ascii="Cambria" w:hAnsi="Cambria" w:asciiTheme="majorHAnsi" w:hAnsiTheme="majorHAnsi"/>
                <w:sz w:val="22"/>
                <w:lang w:val="el-GR"/>
              </w:rPr>
            </w:pPr>
            <w:r>
              <w:rPr>
                <w:rFonts w:ascii="Georgia" w:hAnsi="Georgia"/>
                <w:sz w:val="22"/>
                <w:szCs w:val="22"/>
                <w:lang w:val="el-GR"/>
              </w:rPr>
              <w:t>1</w:t>
            </w:r>
            <w:r>
              <w:rPr>
                <w:rFonts w:ascii="Georgia" w:hAnsi="Georgia"/>
                <w:sz w:val="22"/>
                <w:szCs w:val="22"/>
                <w:lang w:val="el-GR"/>
              </w:rPr>
              <w:t>3</w:t>
            </w:r>
            <w:r>
              <w:rPr>
                <w:rFonts w:ascii="Georgia" w:hAnsi="Georgia"/>
                <w:sz w:val="22"/>
                <w:szCs w:val="22"/>
                <w:lang w:val="el-GR"/>
              </w:rPr>
              <w:t xml:space="preserve"> Σεπτεμβρίου </w:t>
            </w:r>
            <w:r>
              <w:rPr>
                <w:rFonts w:ascii="Georgia" w:hAnsi="Georgia"/>
                <w:sz w:val="22"/>
                <w:szCs w:val="22"/>
              </w:rPr>
              <w:t>20</w:t>
            </w:r>
            <w:r>
              <w:rPr>
                <w:rFonts w:ascii="Georgia" w:hAnsi="Georgia"/>
                <w:sz w:val="22"/>
                <w:szCs w:val="22"/>
                <w:lang w:val="el-GR"/>
              </w:rPr>
              <w:t>23</w:t>
            </w:r>
          </w:p>
          <w:p>
            <w:pPr>
              <w:pStyle w:val="Normal"/>
              <w:spacing w:lineRule="auto" w:line="276"/>
              <w:rPr>
                <w:rFonts w:ascii="Georgia" w:hAnsi="Georgia"/>
              </w:rPr>
            </w:pPr>
            <w:r>
              <w:rPr>
                <w:rFonts w:ascii="Georgia" w:hAnsi="Georgia"/>
                <w:sz w:val="22"/>
                <w:szCs w:val="22"/>
                <w:lang w:val="el-GR"/>
              </w:rPr>
              <w:t>ΑΠ</w:t>
            </w:r>
            <w:r>
              <w:rPr>
                <w:rFonts w:ascii="Georgia" w:hAnsi="Georgia"/>
                <w:sz w:val="22"/>
                <w:szCs w:val="22"/>
              </w:rPr>
              <w:t>.</w:t>
            </w:r>
            <w:r>
              <w:rPr>
                <w:rFonts w:ascii="Georgia" w:hAnsi="Georgia"/>
                <w:sz w:val="22"/>
                <w:szCs w:val="22"/>
                <w:lang w:val="el-GR"/>
              </w:rPr>
              <w:t>Φ</w:t>
            </w:r>
            <w:r>
              <w:rPr>
                <w:rFonts w:ascii="Georgia" w:hAnsi="Georgia"/>
                <w:sz w:val="22"/>
                <w:szCs w:val="22"/>
              </w:rPr>
              <w:t xml:space="preserve"> : 2</w:t>
            </w:r>
            <w:r>
              <w:rPr>
                <w:rFonts w:ascii="Georgia" w:hAnsi="Georgia"/>
                <w:sz w:val="22"/>
                <w:szCs w:val="22"/>
                <w:lang w:val="el-GR"/>
              </w:rPr>
              <w:t>700</w:t>
            </w:r>
            <w:r>
              <w:rPr>
                <w:rFonts w:ascii="Georgia" w:hAnsi="Georgia"/>
                <w:sz w:val="22"/>
                <w:szCs w:val="22"/>
              </w:rPr>
              <w:t>/14</w:t>
            </w:r>
            <w:r>
              <w:rPr>
                <w:rFonts w:ascii="Georgia" w:hAnsi="Georgia"/>
                <w:sz w:val="22"/>
                <w:szCs w:val="22"/>
              </w:rPr>
              <w:t>41</w:t>
            </w:r>
          </w:p>
        </w:tc>
      </w:tr>
    </w:tbl>
    <w:p>
      <w:pPr>
        <w:pStyle w:val="Normal"/>
        <w:rPr>
          <w:rFonts w:eastAsia="Cambria"/>
          <w:lang w:val="el-GR"/>
        </w:rPr>
      </w:pPr>
      <w:r>
        <w:rPr>
          <w:rFonts w:eastAsia="Cambria"/>
          <w:lang w:val="el-GR"/>
        </w:rPr>
      </w:r>
    </w:p>
    <w:tbl>
      <w:tblPr>
        <w:tblW w:w="9495" w:type="dxa"/>
        <w:jc w:val="left"/>
        <w:tblInd w:w="109" w:type="dxa"/>
        <w:tblCellMar>
          <w:top w:w="0" w:type="dxa"/>
          <w:left w:w="108" w:type="dxa"/>
          <w:bottom w:w="0" w:type="dxa"/>
          <w:right w:w="108" w:type="dxa"/>
        </w:tblCellMar>
        <w:tblLook w:val="01e0" w:noHBand="0" w:noVBand="0" w:firstColumn="1" w:lastRow="1" w:lastColumn="1" w:firstRow="1"/>
      </w:tblPr>
      <w:tblGrid>
        <w:gridCol w:w="1165"/>
        <w:gridCol w:w="8329"/>
      </w:tblGrid>
      <w:tr>
        <w:trPr/>
        <w:tc>
          <w:tcPr>
            <w:tcW w:w="1165" w:type="dxa"/>
            <w:tcBorders/>
          </w:tcPr>
          <w:p>
            <w:pPr>
              <w:pStyle w:val="Normal"/>
              <w:tabs>
                <w:tab w:val="clear" w:pos="709"/>
                <w:tab w:val="left" w:pos="0" w:leader="none"/>
              </w:tabs>
              <w:spacing w:lineRule="auto" w:line="276"/>
              <w:rPr>
                <w:rFonts w:ascii="Georgia" w:hAnsi="Georgia"/>
                <w:sz w:val="22"/>
              </w:rPr>
            </w:pPr>
            <w:r>
              <w:rPr>
                <w:rFonts w:ascii="Georgia" w:hAnsi="Georgia"/>
                <w:b/>
                <w:sz w:val="22"/>
                <w:szCs w:val="22"/>
                <w:lang w:val="el-GR"/>
              </w:rPr>
              <w:t>ΠΡΟΣ:</w:t>
            </w:r>
          </w:p>
        </w:tc>
        <w:tc>
          <w:tcPr>
            <w:tcW w:w="8329" w:type="dxa"/>
            <w:tcBorders/>
          </w:tcPr>
          <w:p>
            <w:pPr>
              <w:pStyle w:val="Normal"/>
              <w:spacing w:lineRule="auto" w:line="276"/>
              <w:jc w:val="both"/>
              <w:rPr>
                <w:rFonts w:ascii="Georgia" w:hAnsi="Georgia"/>
                <w:sz w:val="22"/>
              </w:rPr>
            </w:pPr>
            <w:r>
              <w:rPr>
                <w:rFonts w:ascii="Georgia" w:hAnsi="Georgia"/>
                <w:sz w:val="22"/>
                <w:szCs w:val="22"/>
                <w:lang w:val="el-GR"/>
              </w:rPr>
              <w:t>Β</w:t>
            </w:r>
            <w:r>
              <w:rPr>
                <w:rFonts w:ascii="Georgia" w:hAnsi="Georgia"/>
                <w:sz w:val="22"/>
                <w:szCs w:val="22"/>
                <w:lang w:val="el-GR"/>
              </w:rPr>
              <w:t xml:space="preserve">1 </w:t>
            </w:r>
            <w:r>
              <w:rPr>
                <w:rFonts w:ascii="Georgia" w:hAnsi="Georgia"/>
                <w:sz w:val="22"/>
                <w:szCs w:val="22"/>
                <w:lang w:val="el-GR"/>
              </w:rPr>
              <w:t>Δ/νση</w:t>
            </w:r>
          </w:p>
          <w:p>
            <w:pPr>
              <w:pStyle w:val="Normal"/>
              <w:spacing w:lineRule="auto" w:line="276"/>
              <w:jc w:val="both"/>
              <w:rPr>
                <w:rFonts w:ascii="Georgia" w:hAnsi="Georgia"/>
                <w:sz w:val="22"/>
              </w:rPr>
            </w:pPr>
            <w:r>
              <w:rPr/>
            </w:r>
          </w:p>
          <w:p>
            <w:pPr>
              <w:pStyle w:val="Normal"/>
              <w:spacing w:lineRule="auto" w:line="276"/>
              <w:jc w:val="both"/>
              <w:rPr>
                <w:rFonts w:ascii="Georgia" w:hAnsi="Georgia"/>
                <w:sz w:val="22"/>
                <w:lang w:val="el-GR"/>
              </w:rPr>
            </w:pPr>
            <w:r>
              <w:rPr>
                <w:rFonts w:ascii="Georgia" w:hAnsi="Georgia"/>
                <w:sz w:val="22"/>
                <w:lang w:val="el-GR"/>
              </w:rPr>
            </w:r>
          </w:p>
        </w:tc>
      </w:tr>
      <w:tr>
        <w:trPr/>
        <w:tc>
          <w:tcPr>
            <w:tcW w:w="1165" w:type="dxa"/>
            <w:tcBorders/>
          </w:tcPr>
          <w:p>
            <w:pPr>
              <w:pStyle w:val="Normal"/>
              <w:tabs>
                <w:tab w:val="clear" w:pos="709"/>
                <w:tab w:val="left" w:pos="0" w:leader="none"/>
              </w:tabs>
              <w:spacing w:lineRule="auto" w:line="276"/>
              <w:rPr>
                <w:rFonts w:ascii="Georgia" w:hAnsi="Georgia"/>
                <w:sz w:val="22"/>
              </w:rPr>
            </w:pPr>
            <w:r>
              <w:rPr>
                <w:rFonts w:ascii="Georgia" w:hAnsi="Georgia"/>
                <w:b/>
                <w:sz w:val="22"/>
                <w:szCs w:val="22"/>
                <w:lang w:val="el-GR"/>
              </w:rPr>
              <w:t>ΚΟΙΝ.:</w:t>
            </w:r>
          </w:p>
        </w:tc>
        <w:tc>
          <w:tcPr>
            <w:tcW w:w="8329" w:type="dxa"/>
            <w:tcBorders/>
          </w:tcPr>
          <w:p>
            <w:pPr>
              <w:pStyle w:val="Normal"/>
              <w:spacing w:lineRule="auto" w:line="276"/>
              <w:jc w:val="both"/>
              <w:rPr>
                <w:rFonts w:ascii="Georgia" w:hAnsi="Georgia"/>
                <w:sz w:val="22"/>
                <w:szCs w:val="22"/>
                <w:lang w:val="el-GR"/>
              </w:rPr>
            </w:pPr>
            <w:r>
              <w:rPr>
                <w:rFonts w:ascii="Georgia" w:hAnsi="Georgia"/>
                <w:sz w:val="22"/>
                <w:szCs w:val="22"/>
                <w:lang w:val="el-GR"/>
              </w:rPr>
              <w:t>Ως Πίνακας Αποδεκτών</w:t>
            </w:r>
          </w:p>
          <w:p>
            <w:pPr>
              <w:pStyle w:val="Normal"/>
              <w:spacing w:lineRule="auto" w:line="276"/>
              <w:jc w:val="both"/>
              <w:rPr>
                <w:rFonts w:ascii="Georgia" w:hAnsi="Georgia"/>
                <w:sz w:val="22"/>
                <w:lang w:val="el-GR"/>
              </w:rPr>
            </w:pPr>
            <w:r>
              <w:rPr>
                <w:rFonts w:ascii="Georgia" w:hAnsi="Georgia"/>
                <w:sz w:val="22"/>
                <w:lang w:val="el-GR"/>
              </w:rPr>
            </w:r>
          </w:p>
          <w:p>
            <w:pPr>
              <w:pStyle w:val="Normal"/>
              <w:spacing w:lineRule="auto" w:line="276"/>
              <w:jc w:val="both"/>
              <w:rPr>
                <w:rFonts w:ascii="Georgia" w:hAnsi="Georgia"/>
                <w:sz w:val="22"/>
                <w:lang w:val="el-GR"/>
              </w:rPr>
            </w:pPr>
            <w:r>
              <w:rPr>
                <w:rFonts w:ascii="Georgia" w:hAnsi="Georgia"/>
                <w:sz w:val="22"/>
                <w:lang w:val="el-GR"/>
              </w:rPr>
            </w:r>
          </w:p>
        </w:tc>
      </w:tr>
      <w:tr>
        <w:trPr/>
        <w:tc>
          <w:tcPr>
            <w:tcW w:w="1165" w:type="dxa"/>
            <w:tcBorders/>
          </w:tcPr>
          <w:p>
            <w:pPr>
              <w:pStyle w:val="Normal"/>
              <w:tabs>
                <w:tab w:val="clear" w:pos="709"/>
                <w:tab w:val="left" w:pos="0" w:leader="none"/>
              </w:tabs>
              <w:spacing w:lineRule="auto" w:line="276"/>
              <w:rPr>
                <w:rFonts w:ascii="Georgia" w:hAnsi="Georgia"/>
                <w:b/>
                <w:b/>
                <w:sz w:val="22"/>
              </w:rPr>
            </w:pPr>
            <w:r>
              <w:rPr>
                <w:rFonts w:ascii="Georgia" w:hAnsi="Georgia"/>
                <w:b/>
                <w:sz w:val="22"/>
                <w:lang w:val="el-GR"/>
              </w:rPr>
              <w:t>Ε.Δ.</w:t>
            </w:r>
            <w:r>
              <w:rPr>
                <w:rFonts w:ascii="Georgia" w:hAnsi="Georgia"/>
                <w:b/>
                <w:sz w:val="22"/>
              </w:rPr>
              <w:t>:</w:t>
            </w:r>
          </w:p>
        </w:tc>
        <w:tc>
          <w:tcPr>
            <w:tcW w:w="8329" w:type="dxa"/>
            <w:tcBorders/>
          </w:tcPr>
          <w:p>
            <w:pPr>
              <w:pStyle w:val="Normal"/>
              <w:spacing w:lineRule="auto" w:line="276"/>
              <w:jc w:val="both"/>
              <w:rPr>
                <w:rFonts w:ascii="Georgia" w:hAnsi="Georgia"/>
                <w:sz w:val="22"/>
              </w:rPr>
            </w:pPr>
            <w:r>
              <w:rPr>
                <w:rFonts w:ascii="Georgia" w:hAnsi="Georgia"/>
                <w:sz w:val="22"/>
                <w:szCs w:val="22"/>
                <w:lang w:val="el-GR"/>
              </w:rPr>
              <w:t>Γραφείο κας Πρέσβεως</w:t>
            </w:r>
          </w:p>
          <w:p>
            <w:pPr>
              <w:pStyle w:val="Normal"/>
              <w:spacing w:lineRule="auto" w:line="276"/>
              <w:jc w:val="both"/>
              <w:rPr>
                <w:rFonts w:ascii="Georgia" w:hAnsi="Georgia"/>
                <w:b/>
                <w:b/>
                <w:sz w:val="22"/>
                <w:lang w:val="el-GR"/>
              </w:rPr>
            </w:pPr>
            <w:r>
              <w:rPr>
                <w:rFonts w:ascii="Georgia" w:hAnsi="Georgia"/>
                <w:b/>
                <w:sz w:val="22"/>
                <w:lang w:val="el-GR"/>
              </w:rPr>
            </w:r>
          </w:p>
          <w:p>
            <w:pPr>
              <w:pStyle w:val="Normal"/>
              <w:spacing w:lineRule="auto" w:line="276"/>
              <w:jc w:val="both"/>
              <w:rPr>
                <w:rFonts w:ascii="Georgia" w:hAnsi="Georgia"/>
                <w:b/>
                <w:b/>
                <w:sz w:val="22"/>
                <w:lang w:val="el-GR"/>
              </w:rPr>
            </w:pPr>
            <w:r>
              <w:rPr>
                <w:rFonts w:ascii="Georgia" w:hAnsi="Georgia"/>
                <w:b/>
                <w:sz w:val="22"/>
                <w:lang w:val="el-GR"/>
              </w:rPr>
            </w:r>
          </w:p>
        </w:tc>
      </w:tr>
      <w:tr>
        <w:trPr>
          <w:trHeight w:val="656" w:hRule="atLeast"/>
        </w:trPr>
        <w:tc>
          <w:tcPr>
            <w:tcW w:w="1165" w:type="dxa"/>
            <w:tcBorders/>
          </w:tcPr>
          <w:p>
            <w:pPr>
              <w:pStyle w:val="Normal"/>
              <w:tabs>
                <w:tab w:val="clear" w:pos="709"/>
                <w:tab w:val="left" w:pos="0" w:leader="none"/>
              </w:tabs>
              <w:spacing w:lineRule="auto" w:line="276"/>
              <w:rPr>
                <w:rFonts w:ascii="Georgia" w:hAnsi="Georgia"/>
                <w:sz w:val="22"/>
              </w:rPr>
            </w:pPr>
            <w:r>
              <w:rPr>
                <w:rFonts w:ascii="Georgia" w:hAnsi="Georgia"/>
                <w:b/>
                <w:sz w:val="22"/>
                <w:szCs w:val="22"/>
                <w:lang w:val="el-GR"/>
              </w:rPr>
              <w:t>ΘΕΜΑ:</w:t>
            </w:r>
          </w:p>
          <w:p>
            <w:pPr>
              <w:pStyle w:val="Normal"/>
              <w:tabs>
                <w:tab w:val="clear" w:pos="709"/>
                <w:tab w:val="left" w:pos="0" w:leader="none"/>
              </w:tabs>
              <w:spacing w:lineRule="auto" w:line="276"/>
              <w:rPr>
                <w:rFonts w:ascii="Georgia" w:hAnsi="Georgia"/>
                <w:sz w:val="22"/>
              </w:rPr>
            </w:pPr>
            <w:r>
              <w:rPr>
                <w:rFonts w:ascii="Georgia" w:hAnsi="Georgia"/>
                <w:sz w:val="22"/>
              </w:rPr>
            </w:r>
          </w:p>
        </w:tc>
        <w:tc>
          <w:tcPr>
            <w:tcW w:w="8329" w:type="dxa"/>
            <w:tcBorders/>
          </w:tcPr>
          <w:p>
            <w:pPr>
              <w:pStyle w:val="Normal"/>
              <w:rPr>
                <w:rFonts w:ascii="Georgia" w:hAnsi="Georgia" w:eastAsia="Cambria" w:cs="Georgia"/>
                <w:b/>
                <w:b/>
                <w:color w:val="000000"/>
                <w:sz w:val="22"/>
                <w:szCs w:val="22"/>
              </w:rPr>
            </w:pPr>
            <w:r>
              <w:rPr>
                <w:rFonts w:eastAsia="Cambria" w:cs="Georgia" w:ascii="Georgia" w:hAnsi="Georgia"/>
                <w:b/>
                <w:color w:val="000000"/>
                <w:sz w:val="22"/>
                <w:szCs w:val="22"/>
              </w:rPr>
              <w:t xml:space="preserve">Ρουμανία, έρευνα </w:t>
            </w:r>
            <w:r>
              <w:rPr>
                <w:rFonts w:eastAsia="Cambria" w:cs="Georgia" w:ascii="Georgia" w:hAnsi="Georgia"/>
                <w:b/>
                <w:color w:val="000000"/>
                <w:sz w:val="22"/>
                <w:szCs w:val="22"/>
              </w:rPr>
              <w:t>NielsenIQ Retail Audit,</w:t>
            </w:r>
            <w:r>
              <w:rPr>
                <w:rFonts w:eastAsia="Cambria" w:cs="Georgia" w:ascii="Georgia" w:hAnsi="Georgia"/>
                <w:b/>
                <w:color w:val="000000"/>
                <w:sz w:val="22"/>
                <w:szCs w:val="22"/>
              </w:rPr>
              <w:t xml:space="preserve"> Αύξηση αξίας πωλήσεων καταναλωτικών αγαθών/FMCG μείωση όγκου για το Α’ εξάμηνο 2023.</w:t>
            </w:r>
          </w:p>
        </w:tc>
      </w:tr>
    </w:tbl>
    <w:p>
      <w:pPr>
        <w:pStyle w:val="Normal"/>
        <w:tabs>
          <w:tab w:val="clear" w:pos="709"/>
          <w:tab w:val="left" w:pos="975" w:leader="none"/>
        </w:tabs>
        <w:spacing w:lineRule="auto" w:line="276"/>
        <w:jc w:val="both"/>
        <w:rPr>
          <w:rFonts w:ascii="Georgia" w:hAnsi="Georgia" w:cs="Arial"/>
        </w:rPr>
      </w:pPr>
      <w:r>
        <w:rPr/>
      </w:r>
    </w:p>
    <w:p>
      <w:pPr>
        <w:pStyle w:val="ListParagraph"/>
        <w:ind w:hanging="0"/>
        <w:jc w:val="both"/>
        <w:rPr>
          <w:rFonts w:ascii="Georgia" w:hAnsi="Georgia"/>
          <w:sz w:val="22"/>
          <w:szCs w:val="22"/>
        </w:rPr>
      </w:pPr>
      <w:r>
        <w:rPr>
          <w:rFonts w:ascii="Georgia" w:hAnsi="Georgia"/>
          <w:sz w:val="22"/>
          <w:szCs w:val="22"/>
        </w:rPr>
        <w:t xml:space="preserve"> </w:t>
      </w:r>
      <w:r>
        <w:rPr>
          <w:rFonts w:ascii="Georgia" w:hAnsi="Georgia"/>
          <w:sz w:val="22"/>
          <w:szCs w:val="22"/>
        </w:rPr>
        <w:t xml:space="preserve">Σύμφωνα με πρόσφατα </w:t>
      </w:r>
      <w:r>
        <w:rPr>
          <w:rFonts w:ascii="Georgia" w:hAnsi="Georgia"/>
          <w:sz w:val="22"/>
          <w:szCs w:val="22"/>
        </w:rPr>
        <w:t xml:space="preserve">ανακοινωθέντα </w:t>
      </w:r>
      <w:r>
        <w:rPr>
          <w:rFonts w:ascii="Georgia" w:hAnsi="Georgia"/>
          <w:sz w:val="22"/>
          <w:szCs w:val="22"/>
        </w:rPr>
        <w:t>στοιχεία της NielsenIQ Retail Audit, οι</w:t>
      </w:r>
      <w:r>
        <w:rPr>
          <w:rFonts w:ascii="Georgia" w:hAnsi="Georgia"/>
          <w:b/>
          <w:bCs/>
          <w:sz w:val="22"/>
          <w:szCs w:val="22"/>
        </w:rPr>
        <w:t xml:space="preserve"> πωλήσεις καταναλωτικών αγαθών (FMCG) στη Ρουμανία αυξήθηκαν το δεύτερο τρίμηνο του τρέχοντος έτους κατά 17,3% σε όρους αξίας σε σύγκριση </w:t>
      </w:r>
      <w:r>
        <w:rPr>
          <w:rFonts w:ascii="Georgia" w:hAnsi="Georgia"/>
          <w:sz w:val="22"/>
          <w:szCs w:val="22"/>
        </w:rPr>
        <w:t xml:space="preserve">με την ίδια περίοδο πέρυσι. Ταυτόχρονα, το δεύτερο τρίμηνο του έτους χαρακτηρίστηκε επίσης από </w:t>
      </w:r>
      <w:r>
        <w:rPr>
          <w:rFonts w:ascii="Georgia" w:hAnsi="Georgia"/>
          <w:b/>
          <w:bCs/>
          <w:sz w:val="22"/>
          <w:szCs w:val="22"/>
        </w:rPr>
        <w:t xml:space="preserve">επιβράδυνση της μείωσης του όγκου </w:t>
      </w:r>
      <w:r>
        <w:rPr>
          <w:rFonts w:ascii="Georgia" w:hAnsi="Georgia"/>
          <w:sz w:val="22"/>
          <w:szCs w:val="22"/>
        </w:rPr>
        <w:t>που χαρακτήρισε τα τελευταία τρίμηνα (-2% το β΄ τρίμηνο του 2023, έναντι -4,6% το α΄ τρίμηνο του 2023), καθώς και από επιβράδυνση της αύξησης των τιμών (+19,3% το β΄ τρίμηνο του 2023, έναντι +23,1% το α΄ τρίμηνο του 2023).</w:t>
      </w:r>
    </w:p>
    <w:p>
      <w:pPr>
        <w:pStyle w:val="ListParagraph"/>
        <w:ind w:hanging="0"/>
        <w:jc w:val="both"/>
        <w:rPr>
          <w:rFonts w:ascii="Georgia" w:hAnsi="Georgia"/>
          <w:sz w:val="22"/>
          <w:szCs w:val="22"/>
        </w:rPr>
      </w:pPr>
      <w:r>
        <w:rPr>
          <w:rFonts w:ascii="Georgia" w:hAnsi="Georgia"/>
          <w:sz w:val="22"/>
          <w:szCs w:val="22"/>
        </w:rPr>
      </w:r>
    </w:p>
    <w:p>
      <w:pPr>
        <w:pStyle w:val="ListParagraph"/>
        <w:ind w:hanging="0"/>
        <w:jc w:val="both"/>
        <w:rPr>
          <w:rFonts w:ascii="Georgia" w:hAnsi="Georgia"/>
          <w:sz w:val="22"/>
          <w:szCs w:val="22"/>
        </w:rPr>
      </w:pPr>
      <w:r>
        <w:rPr>
          <w:rFonts w:ascii="Georgia" w:hAnsi="Georgia"/>
          <w:sz w:val="22"/>
          <w:szCs w:val="22"/>
        </w:rPr>
        <w:t xml:space="preserve">  </w:t>
      </w:r>
      <w:r>
        <w:rPr>
          <w:rFonts w:ascii="Georgia" w:hAnsi="Georgia"/>
          <w:sz w:val="22"/>
          <w:szCs w:val="22"/>
        </w:rPr>
        <w:t xml:space="preserve">Σύμφωνα με </w:t>
      </w:r>
      <w:r>
        <w:rPr>
          <w:rFonts w:ascii="Georgia" w:hAnsi="Georgia"/>
          <w:sz w:val="22"/>
          <w:szCs w:val="22"/>
        </w:rPr>
        <w:t xml:space="preserve">το </w:t>
      </w:r>
      <w:r>
        <w:rPr>
          <w:rFonts w:ascii="Georgia" w:hAnsi="Georgia"/>
          <w:sz w:val="22"/>
          <w:szCs w:val="22"/>
        </w:rPr>
        <w:t xml:space="preserve">δελτίο τύπου, η αγορά καταναλωτικών αγαθών σε ευρωπαϊκό επίπεδο, εξελίχθηκε παρόμοια με εκείνη της Ρουμανίας </w:t>
      </w:r>
      <w:r>
        <w:rPr>
          <w:rFonts w:ascii="Georgia" w:hAnsi="Georgia"/>
          <w:sz w:val="22"/>
          <w:szCs w:val="22"/>
        </w:rPr>
        <w:t>κατά τ</w:t>
      </w:r>
      <w:r>
        <w:rPr>
          <w:rFonts w:ascii="Georgia" w:hAnsi="Georgia"/>
          <w:sz w:val="22"/>
          <w:szCs w:val="22"/>
        </w:rPr>
        <w:t xml:space="preserve">ους τελευταίους δώδεκα μήνες. </w:t>
      </w:r>
      <w:r>
        <w:rPr>
          <w:rFonts w:ascii="Georgia" w:hAnsi="Georgia"/>
          <w:b/>
          <w:bCs/>
          <w:sz w:val="22"/>
          <w:szCs w:val="22"/>
        </w:rPr>
        <w:t>Με μέση ευρωπαϊκή αύξηση της αξίας κατά +9,2%, ο όγκος μειώθηκε κατά -2,3% και οι τιμές αυξήθηκαν κατά +11,5%.</w:t>
      </w:r>
    </w:p>
    <w:p>
      <w:pPr>
        <w:pStyle w:val="ListParagraph"/>
        <w:ind w:hanging="0"/>
        <w:jc w:val="both"/>
        <w:rPr>
          <w:rFonts w:ascii="Georgia" w:hAnsi="Georgia"/>
          <w:sz w:val="22"/>
          <w:szCs w:val="22"/>
        </w:rPr>
      </w:pPr>
      <w:r>
        <w:rPr>
          <w:rFonts w:ascii="Georgia" w:hAnsi="Georgia"/>
          <w:sz w:val="22"/>
          <w:szCs w:val="22"/>
        </w:rPr>
        <w:t xml:space="preserve"> </w:t>
      </w:r>
    </w:p>
    <w:p>
      <w:pPr>
        <w:pStyle w:val="ListParagraph"/>
        <w:ind w:hanging="0"/>
        <w:jc w:val="both"/>
        <w:rPr>
          <w:rFonts w:ascii="Georgia" w:hAnsi="Georgia"/>
          <w:sz w:val="22"/>
          <w:szCs w:val="22"/>
        </w:rPr>
      </w:pPr>
      <w:r>
        <w:rPr>
          <w:rFonts w:ascii="Georgia" w:hAnsi="Georgia"/>
          <w:sz w:val="22"/>
          <w:szCs w:val="22"/>
        </w:rPr>
        <w:t xml:space="preserve">  </w:t>
      </w:r>
      <w:r>
        <w:rPr>
          <w:rFonts w:ascii="Georgia" w:hAnsi="Georgia"/>
          <w:sz w:val="22"/>
          <w:szCs w:val="22"/>
        </w:rPr>
        <w:t xml:space="preserve">Σε σύγκριση με τις χώρες της Ανατολικής Ευρώπης, η Ρουμανία βρίσκεται στην τέταρτη θέση όσον αφορά </w:t>
      </w:r>
      <w:r>
        <w:rPr>
          <w:rFonts w:ascii="Georgia" w:hAnsi="Georgia"/>
          <w:sz w:val="22"/>
          <w:szCs w:val="22"/>
        </w:rPr>
        <w:t>σ</w:t>
      </w:r>
      <w:r>
        <w:rPr>
          <w:rFonts w:ascii="Georgia" w:hAnsi="Georgia"/>
          <w:sz w:val="22"/>
          <w:szCs w:val="22"/>
        </w:rPr>
        <w:t xml:space="preserve">την αύξηση της αξίας (+18,3%) κατά τους τελευταίους δώδεκα μήνες, </w:t>
      </w:r>
      <w:r>
        <w:rPr>
          <w:rFonts w:ascii="Georgia" w:hAnsi="Georgia"/>
          <w:sz w:val="22"/>
          <w:szCs w:val="22"/>
        </w:rPr>
        <w:t xml:space="preserve">μετά </w:t>
      </w:r>
      <w:r>
        <w:rPr>
          <w:rFonts w:ascii="Georgia" w:hAnsi="Georgia"/>
          <w:sz w:val="22"/>
          <w:szCs w:val="22"/>
        </w:rPr>
        <w:t>την Ουγγαρία, με αύξηση +22,%, τη Σερβία (+19,5%) και τη Βουλγαρία (+19,3%).</w:t>
      </w:r>
    </w:p>
    <w:p>
      <w:pPr>
        <w:pStyle w:val="ListParagraph"/>
        <w:ind w:hanging="0"/>
        <w:jc w:val="both"/>
        <w:rPr>
          <w:rFonts w:ascii="Georgia" w:hAnsi="Georgia"/>
          <w:sz w:val="22"/>
          <w:szCs w:val="22"/>
        </w:rPr>
      </w:pPr>
      <w:r>
        <w:rPr>
          <w:rFonts w:ascii="Georgia" w:hAnsi="Georgia"/>
          <w:sz w:val="22"/>
          <w:szCs w:val="22"/>
        </w:rPr>
      </w:r>
    </w:p>
    <w:p>
      <w:pPr>
        <w:pStyle w:val="ListParagraph"/>
        <w:ind w:hanging="0"/>
        <w:jc w:val="both"/>
        <w:rPr>
          <w:rFonts w:ascii="Georgia" w:hAnsi="Georgia"/>
          <w:sz w:val="22"/>
          <w:szCs w:val="22"/>
        </w:rPr>
      </w:pPr>
      <w:r>
        <w:rPr>
          <w:rFonts w:ascii="Georgia" w:hAnsi="Georgia"/>
          <w:sz w:val="22"/>
          <w:szCs w:val="22"/>
        </w:rPr>
        <w:t xml:space="preserve"> </w:t>
      </w:r>
      <w:r>
        <w:rPr>
          <w:rFonts w:ascii="Georgia" w:hAnsi="Georgia"/>
          <w:sz w:val="22"/>
          <w:szCs w:val="22"/>
        </w:rPr>
        <w:t>Όλες οι μακροκατηγορίες προϊόντων κατέγραψαν σημαντική αύξηση της αξίας τους κατά το πρώτο εξάμηνο του έτους.</w:t>
      </w:r>
      <w:r>
        <w:rPr>
          <w:rFonts w:ascii="Georgia" w:hAnsi="Georgia"/>
          <w:b/>
          <w:bCs/>
          <w:sz w:val="22"/>
          <w:szCs w:val="22"/>
        </w:rPr>
        <w:t xml:space="preserve"> Η μεγαλύτερη αύξηση σημειώθηκε στην κατηγορία των τροφίμων (+19,7%),</w:t>
      </w:r>
      <w:r>
        <w:rPr>
          <w:rFonts w:ascii="Georgia" w:hAnsi="Georgia"/>
          <w:sz w:val="22"/>
          <w:szCs w:val="22"/>
        </w:rPr>
        <w:t xml:space="preserve"> </w:t>
      </w:r>
      <w:r>
        <w:rPr>
          <w:rFonts w:ascii="Georgia" w:hAnsi="Georgia"/>
          <w:sz w:val="22"/>
          <w:szCs w:val="22"/>
          <w:u w:val="single"/>
        </w:rPr>
        <w:t>η οποία αντιπροσωπεύει περισσότερο από το ήμισυ του συνολικού καλαθιού αγορών</w:t>
      </w:r>
      <w:r>
        <w:rPr>
          <w:rFonts w:ascii="Georgia" w:hAnsi="Georgia"/>
          <w:sz w:val="22"/>
          <w:szCs w:val="22"/>
        </w:rPr>
        <w:t xml:space="preserve"> στη ρουμανική αγορά καταναλωτικών αγαθών, ακολουθούμενη από την κατηγορία των μη αλκοολούχων ποτών, η οποία κατέγραψε αύξηση αξίας κατά 17,5%. Τα μη διατροφικά προϊόντα αυξήθηκαν σε αξία κατά 16,6% και τα αλκοολούχα ποτά κατά 12,3%.  </w:t>
      </w:r>
    </w:p>
    <w:p>
      <w:pPr>
        <w:pStyle w:val="ListParagraph"/>
        <w:ind w:hanging="0"/>
        <w:jc w:val="both"/>
        <w:rPr>
          <w:rFonts w:ascii="Georgia" w:hAnsi="Georgia"/>
          <w:sz w:val="22"/>
          <w:szCs w:val="22"/>
        </w:rPr>
      </w:pPr>
      <w:r>
        <w:rPr>
          <w:rFonts w:ascii="Georgia" w:hAnsi="Georgia"/>
          <w:sz w:val="22"/>
          <w:szCs w:val="22"/>
        </w:rPr>
      </w:r>
    </w:p>
    <w:p>
      <w:pPr>
        <w:pStyle w:val="ListParagraph"/>
        <w:ind w:hanging="0"/>
        <w:jc w:val="both"/>
        <w:rPr>
          <w:rFonts w:ascii="Georgia" w:hAnsi="Georgia"/>
          <w:sz w:val="22"/>
          <w:szCs w:val="22"/>
        </w:rPr>
      </w:pPr>
      <w:r>
        <w:rPr>
          <w:rFonts w:ascii="Georgia" w:hAnsi="Georgia"/>
          <w:sz w:val="22"/>
          <w:szCs w:val="22"/>
        </w:rPr>
        <w:t xml:space="preserve">  </w:t>
      </w:r>
      <w:r>
        <w:rPr>
          <w:rFonts w:ascii="Georgia" w:hAnsi="Georgia"/>
          <w:sz w:val="22"/>
          <w:szCs w:val="22"/>
        </w:rPr>
        <w:t>Περισσότερα από τα τρία τέταρτα των κατηγοριών προϊόντων αυξήθηκαν σε αξία κατά το πρώτο εξάμηνο του έτους</w:t>
      </w:r>
      <w:r>
        <w:rPr>
          <w:rFonts w:ascii="Georgia" w:hAnsi="Georgia"/>
          <w:b/>
          <w:bCs/>
          <w:sz w:val="22"/>
          <w:szCs w:val="22"/>
        </w:rPr>
        <w:t>, ενώ μόνο το 32% αυτών κατάφερε να αυξηθεί σε όγκο.</w:t>
      </w:r>
      <w:r>
        <w:rPr>
          <w:rFonts w:ascii="Georgia" w:hAnsi="Georgia"/>
          <w:sz w:val="22"/>
          <w:szCs w:val="22"/>
        </w:rPr>
        <w:t xml:space="preserve"> </w:t>
      </w:r>
      <w:r>
        <w:rPr>
          <w:rFonts w:ascii="Georgia" w:hAnsi="Georgia"/>
          <w:sz w:val="22"/>
          <w:szCs w:val="22"/>
          <w:u w:val="single"/>
        </w:rPr>
        <w:t xml:space="preserve">Οι κορυφαίες κατηγορίες που </w:t>
      </w:r>
      <w:r>
        <w:rPr>
          <w:rFonts w:ascii="Georgia" w:hAnsi="Georgia"/>
          <w:b/>
          <w:bCs/>
          <w:sz w:val="22"/>
          <w:szCs w:val="22"/>
          <w:u w:val="single"/>
        </w:rPr>
        <w:t>αυξήθηκαν περισσότερο από 10%</w:t>
      </w:r>
      <w:r>
        <w:rPr>
          <w:rFonts w:ascii="Georgia" w:hAnsi="Georgia"/>
          <w:sz w:val="22"/>
          <w:szCs w:val="22"/>
          <w:u w:val="single"/>
        </w:rPr>
        <w:t xml:space="preserve"> σε αξία</w:t>
      </w:r>
      <w:r>
        <w:rPr>
          <w:rFonts w:ascii="Georgia" w:hAnsi="Georgia"/>
          <w:sz w:val="22"/>
          <w:szCs w:val="22"/>
        </w:rPr>
        <w:t xml:space="preserve"> ήταν </w:t>
      </w:r>
      <w:r>
        <w:rPr>
          <w:rFonts w:ascii="Georgia" w:hAnsi="Georgia"/>
          <w:sz w:val="22"/>
          <w:szCs w:val="22"/>
          <w:u w:val="single"/>
        </w:rPr>
        <w:t>η μπύρα, τα ανθρακούχα ποτά, το νωπό κρέας, το νερό, το τυρί, ο καφές, τα σνακ, η σοκολάτα, τα μπισκότα, τα γαλακτοκομικά προϊόντα, τα λαχανικά, το ψωμί, τα προϊόντα οικιακής χρήσης και τα οινοπνευματώδη ποτά,</w:t>
      </w:r>
      <w:r>
        <w:rPr>
          <w:rFonts w:ascii="Georgia" w:hAnsi="Georgia"/>
          <w:sz w:val="22"/>
          <w:szCs w:val="22"/>
        </w:rPr>
        <w:t xml:space="preserve"> </w:t>
      </w:r>
      <w:r>
        <w:rPr>
          <w:rFonts w:ascii="Georgia" w:hAnsi="Georgia"/>
          <w:b/>
          <w:bCs/>
          <w:sz w:val="22"/>
          <w:szCs w:val="22"/>
        </w:rPr>
        <w:t>αλλά καμία από αυτές δεν αυξήθηκε σε όγκο,</w:t>
      </w:r>
      <w:r>
        <w:rPr>
          <w:rFonts w:ascii="Georgia" w:hAnsi="Georgia"/>
          <w:sz w:val="22"/>
          <w:szCs w:val="22"/>
        </w:rPr>
        <w:t xml:space="preserve"> με εξαίρεση το νωπό κρέας (+6,8% σε όγκο), ενώ οι υπόλοιπες κατηγορίες </w:t>
      </w:r>
      <w:r>
        <w:rPr>
          <w:rFonts w:ascii="Georgia" w:hAnsi="Georgia"/>
          <w:sz w:val="22"/>
          <w:szCs w:val="22"/>
        </w:rPr>
        <w:t xml:space="preserve">ή </w:t>
      </w:r>
      <w:r>
        <w:rPr>
          <w:rFonts w:ascii="Georgia" w:hAnsi="Georgia"/>
          <w:sz w:val="22"/>
          <w:szCs w:val="22"/>
        </w:rPr>
        <w:t>παρέμειναν στάσιμες ή έχασαν όγκο.</w:t>
      </w:r>
    </w:p>
    <w:p>
      <w:pPr>
        <w:pStyle w:val="ListParagraph"/>
        <w:ind w:hanging="0"/>
        <w:jc w:val="both"/>
        <w:rPr>
          <w:rFonts w:ascii="Georgia" w:hAnsi="Georgia"/>
          <w:sz w:val="22"/>
          <w:szCs w:val="22"/>
        </w:rPr>
      </w:pPr>
      <w:r>
        <w:rPr>
          <w:rFonts w:ascii="Georgia" w:hAnsi="Georgia"/>
          <w:sz w:val="22"/>
          <w:szCs w:val="22"/>
        </w:rPr>
        <w:t xml:space="preserve"> </w:t>
      </w:r>
      <w:r>
        <w:rPr>
          <w:rFonts w:ascii="Georgia" w:hAnsi="Georgia"/>
          <w:sz w:val="22"/>
          <w:szCs w:val="22"/>
        </w:rPr>
        <w:t xml:space="preserve">Σύμφωνα επίσης με τα στοιχεία της έρευνας, </w:t>
      </w:r>
      <w:r>
        <w:rPr>
          <w:rFonts w:ascii="Georgia" w:hAnsi="Georgia"/>
          <w:sz w:val="22"/>
          <w:szCs w:val="22"/>
        </w:rPr>
        <w:t>σημειώνε</w:t>
      </w:r>
      <w:r>
        <w:rPr>
          <w:rFonts w:ascii="Georgia" w:hAnsi="Georgia"/>
          <w:sz w:val="22"/>
          <w:szCs w:val="22"/>
        </w:rPr>
        <w:t>ται</w:t>
      </w:r>
      <w:r>
        <w:rPr>
          <w:rFonts w:ascii="Georgia" w:hAnsi="Georgia"/>
          <w:sz w:val="22"/>
          <w:szCs w:val="22"/>
        </w:rPr>
        <w:t xml:space="preserve"> επίσης στροφή προς μια πιο ρεαλιστική και υπολογιστική στάση στις αγορές </w:t>
      </w:r>
      <w:r>
        <w:rPr>
          <w:rFonts w:ascii="Georgia" w:hAnsi="Georgia"/>
          <w:sz w:val="22"/>
          <w:szCs w:val="22"/>
        </w:rPr>
        <w:t xml:space="preserve">η οποία και </w:t>
      </w:r>
      <w:r>
        <w:rPr>
          <w:rFonts w:ascii="Georgia" w:hAnsi="Georgia"/>
          <w:sz w:val="22"/>
          <w:szCs w:val="22"/>
        </w:rPr>
        <w:t>αντανακλάται στη δυναμική ανάπτυξης των καναλιών λιανικής πώλησης. Έτσι, το κανάλι με τη μεγαλύτερη ανάπτυξη το πρώτο εξάμηνο του 2023 ήταν τα Discounters (+26,3% σε αξία), ακολουθούμενο από τις μικρότερες μορφές - Mini-markets (+22,7%) και Supermarkets (16,5%).</w:t>
      </w:r>
    </w:p>
    <w:p>
      <w:pPr>
        <w:pStyle w:val="ListParagraph"/>
        <w:ind w:hanging="0"/>
        <w:jc w:val="both"/>
        <w:rPr>
          <w:rFonts w:ascii="Georgia" w:hAnsi="Georgia"/>
          <w:sz w:val="22"/>
          <w:szCs w:val="22"/>
        </w:rPr>
      </w:pPr>
      <w:r>
        <w:rPr>
          <w:rFonts w:ascii="Georgia" w:hAnsi="Georgia"/>
          <w:sz w:val="22"/>
          <w:szCs w:val="22"/>
        </w:rPr>
        <w:t xml:space="preserve">  </w:t>
      </w:r>
      <w:r>
        <w:rPr>
          <w:rFonts w:ascii="Georgia" w:hAnsi="Georgia"/>
          <w:sz w:val="22"/>
          <w:szCs w:val="22"/>
        </w:rPr>
        <w:t>Το παραδοσιακό λιανικό εμπόριο αυξήθηκε κατά 15,3% σε αξία, ενώ οι υπεραγορές σημείωσαν την πιο αργή αύξηση κατά 13%.</w:t>
      </w:r>
    </w:p>
    <w:p>
      <w:pPr>
        <w:pStyle w:val="ListParagraph"/>
        <w:ind w:hanging="0"/>
        <w:jc w:val="both"/>
        <w:rPr>
          <w:rFonts w:ascii="Georgia" w:hAnsi="Georgia"/>
          <w:sz w:val="22"/>
          <w:szCs w:val="22"/>
        </w:rPr>
      </w:pPr>
      <w:r>
        <w:rPr>
          <w:rFonts w:ascii="Georgia" w:hAnsi="Georgia"/>
          <w:sz w:val="22"/>
          <w:szCs w:val="22"/>
        </w:rPr>
        <w:t xml:space="preserve">  </w:t>
      </w:r>
      <w:r>
        <w:rPr>
          <w:rFonts w:ascii="Georgia" w:hAnsi="Georgia"/>
          <w:sz w:val="22"/>
          <w:szCs w:val="22"/>
        </w:rPr>
        <w:t>Η καινοτομία του β' τριμήνου του έτους είναι</w:t>
      </w:r>
      <w:r>
        <w:rPr>
          <w:rFonts w:ascii="Georgia" w:hAnsi="Georgia"/>
          <w:b/>
          <w:bCs/>
          <w:sz w:val="22"/>
          <w:szCs w:val="22"/>
        </w:rPr>
        <w:t xml:space="preserve"> η αλλαγή των καταναλωτικών προτύπων στις Υπεραγορές και τα Σούπερ Μάρκετ, που δείχνει την τάση των καταναλωτών να πραγματοποιούν συχνότερες επισκέψεις στα καταστήματα, στην προσπάθεια να διατηρήσουν υπό έλεγχο την αξία του καλαθιού αγορών.</w:t>
      </w:r>
    </w:p>
    <w:p>
      <w:pPr>
        <w:pStyle w:val="ListParagraph"/>
        <w:ind w:hanging="0"/>
        <w:jc w:val="both"/>
        <w:rPr>
          <w:rFonts w:ascii="Georgia" w:hAnsi="Georgia"/>
          <w:sz w:val="22"/>
          <w:szCs w:val="22"/>
        </w:rPr>
      </w:pPr>
      <w:r>
        <w:rPr>
          <w:rFonts w:ascii="Georgia" w:hAnsi="Georgia"/>
          <w:sz w:val="22"/>
          <w:szCs w:val="22"/>
        </w:rPr>
      </w:r>
    </w:p>
    <w:p>
      <w:pPr>
        <w:pStyle w:val="ListParagraph"/>
        <w:ind w:hanging="0"/>
        <w:jc w:val="both"/>
        <w:rPr>
          <w:rFonts w:ascii="Georgia" w:hAnsi="Georgia"/>
          <w:sz w:val="22"/>
          <w:szCs w:val="22"/>
        </w:rPr>
      </w:pPr>
      <w:r>
        <w:rPr>
          <w:rFonts w:ascii="Georgia" w:hAnsi="Georgia"/>
          <w:sz w:val="22"/>
          <w:szCs w:val="22"/>
        </w:rPr>
        <w:t xml:space="preserve">  </w:t>
      </w:r>
      <w:r>
        <w:rPr>
          <w:rFonts w:ascii="Georgia" w:hAnsi="Georgia"/>
          <w:sz w:val="22"/>
          <w:szCs w:val="22"/>
        </w:rPr>
        <w:t xml:space="preserve">Ένας άλλος τρόπος με τον οποίο οι Ρουμάνοι καταναλωτές αντιμετώπισαν τον πληθωρισμό είναι η </w:t>
      </w:r>
      <w:r>
        <w:rPr>
          <w:rFonts w:ascii="Georgia" w:hAnsi="Georgia"/>
          <w:b/>
          <w:bCs/>
          <w:sz w:val="22"/>
          <w:szCs w:val="22"/>
        </w:rPr>
        <w:t>στροφή προς τ</w:t>
      </w:r>
      <w:r>
        <w:rPr>
          <w:rFonts w:ascii="Georgia" w:hAnsi="Georgia"/>
          <w:b/>
          <w:bCs/>
          <w:sz w:val="22"/>
          <w:szCs w:val="22"/>
        </w:rPr>
        <w:t>α προϊόντα ιδιωτικής ετικέττας</w:t>
      </w:r>
      <w:r>
        <w:rPr>
          <w:rFonts w:ascii="Georgia" w:hAnsi="Georgia"/>
          <w:b/>
          <w:bCs/>
          <w:sz w:val="22"/>
          <w:szCs w:val="22"/>
        </w:rPr>
        <w:t>.</w:t>
      </w:r>
      <w:r>
        <w:rPr>
          <w:rFonts w:ascii="Georgia" w:hAnsi="Georgia"/>
          <w:sz w:val="22"/>
          <w:szCs w:val="22"/>
        </w:rPr>
        <w:t xml:space="preserve"> Η ανοδική τάση των ιδιωτικών ετικετών συνεχίστηκε το β' τρίμηνο, όταν το μερίδιο αγοράς τους κέρδισε άλλες 0,7 μονάδες σε σχέση με πέρυσι, με το τμήμα αυτό να </w:t>
      </w:r>
      <w:r>
        <w:rPr>
          <w:rFonts w:ascii="Georgia" w:hAnsi="Georgia"/>
          <w:b/>
          <w:bCs/>
          <w:sz w:val="22"/>
          <w:szCs w:val="22"/>
        </w:rPr>
        <w:t>αντιπροσωπεύει πλέον το 19,3% της συνολικής ρουμανικής καταναλωτικής αγοράς.</w:t>
      </w:r>
      <w:r>
        <w:rPr>
          <w:rFonts w:ascii="Georgia" w:hAnsi="Georgia"/>
          <w:sz w:val="22"/>
          <w:szCs w:val="22"/>
        </w:rPr>
        <w:t xml:space="preserve"> Τα προϊόντα ιδιωτικής ετικέτας στην κατηγορία των μη τροφίμων παρουσίασαν την πιο εντυπωσιακή ανάπτυξη αυτό το τρίμηνο, σημειώνοντας αύξηση 2,7 μονάδων.</w:t>
      </w:r>
    </w:p>
    <w:p>
      <w:pPr>
        <w:pStyle w:val="ListParagraph"/>
        <w:ind w:hanging="0"/>
        <w:jc w:val="both"/>
        <w:rPr>
          <w:rFonts w:ascii="Georgia" w:hAnsi="Georgia"/>
          <w:sz w:val="22"/>
          <w:szCs w:val="22"/>
        </w:rPr>
      </w:pPr>
      <w:r>
        <w:rPr>
          <w:rFonts w:ascii="Georgia" w:hAnsi="Georgia"/>
          <w:sz w:val="22"/>
          <w:szCs w:val="22"/>
        </w:rPr>
      </w:r>
    </w:p>
    <w:p>
      <w:pPr>
        <w:pStyle w:val="ListParagraph"/>
        <w:ind w:hanging="0"/>
        <w:jc w:val="both"/>
        <w:rPr>
          <w:rFonts w:ascii="Georgia" w:hAnsi="Georgia"/>
          <w:sz w:val="22"/>
          <w:szCs w:val="22"/>
        </w:rPr>
      </w:pPr>
      <w:r>
        <w:rPr>
          <w:rFonts w:ascii="Georgia" w:hAnsi="Georgia"/>
          <w:sz w:val="22"/>
          <w:szCs w:val="22"/>
        </w:rPr>
        <w:t xml:space="preserve">  </w:t>
      </w:r>
      <w:r>
        <w:rPr>
          <w:rFonts w:ascii="Georgia" w:hAnsi="Georgia"/>
          <w:b/>
          <w:bCs/>
          <w:sz w:val="22"/>
          <w:szCs w:val="22"/>
        </w:rPr>
        <w:t xml:space="preserve">Το ηλεκτρονικό εμπόριο FMCG </w:t>
      </w:r>
      <w:r>
        <w:rPr>
          <w:rFonts w:ascii="Georgia" w:hAnsi="Georgia"/>
          <w:sz w:val="22"/>
          <w:szCs w:val="22"/>
        </w:rPr>
        <w:t xml:space="preserve">που παρακολουθείται από την NIQ, κατέγραψε </w:t>
      </w:r>
      <w:r>
        <w:rPr>
          <w:rFonts w:ascii="Georgia" w:hAnsi="Georgia"/>
          <w:b/>
          <w:bCs/>
          <w:sz w:val="22"/>
          <w:szCs w:val="22"/>
        </w:rPr>
        <w:t>σημαντική αύξηση της αξίας του το δεύτερο τρίμηνο του έτους, ήτοι 20,4%</w:t>
      </w:r>
      <w:r>
        <w:rPr>
          <w:rFonts w:ascii="Georgia" w:hAnsi="Georgia"/>
          <w:sz w:val="22"/>
          <w:szCs w:val="22"/>
        </w:rPr>
        <w:t>. Το μεγαλύτερο μερίδιο του παρακολουθούμενου διαδικτυακού εμπορίου κατέλαβαν τα προϊόντα εκτός τροφίμων, με αύξηση 25,5%, και τα τρόφιμα, με αύξηση +14,1% σε αξία. Τα αλκοολούχα ποτά αυξήθηκαν στο ηλεκτρονικό εμπόριο κατά 25,2%, ενώ τα μη αλκοολούχα ποτά σημείωσαν αύξηση κατά 21,3%. Παρόλο που η αγορά του ηλεκτρονικού εμπορίου δεν είχε σημειώσει σημαντικές διακυμάνσεις από το τέλος της πανδημίας, η κορύφωση της αύξησης της αξίας της αγοράς αυτής επιτεύχθηκε το β' τρίμηνο του 2023.</w:t>
      </w:r>
    </w:p>
    <w:p>
      <w:pPr>
        <w:pStyle w:val="ListParagraph"/>
        <w:ind w:hanging="0"/>
        <w:jc w:val="both"/>
        <w:rPr>
          <w:rFonts w:ascii="Georgia" w:hAnsi="Georgia"/>
          <w:sz w:val="22"/>
          <w:szCs w:val="22"/>
        </w:rPr>
      </w:pPr>
      <w:r>
        <w:rPr>
          <w:rFonts w:ascii="Georgia" w:hAnsi="Georgia"/>
          <w:sz w:val="22"/>
          <w:szCs w:val="22"/>
        </w:rPr>
      </w:r>
    </w:p>
    <w:p>
      <w:pPr>
        <w:pStyle w:val="ListParagraph"/>
        <w:ind w:hanging="0"/>
        <w:jc w:val="both"/>
        <w:rPr>
          <w:rFonts w:ascii="Georgia" w:hAnsi="Georgia"/>
          <w:sz w:val="22"/>
          <w:szCs w:val="22"/>
        </w:rPr>
      </w:pPr>
      <w:r>
        <w:rPr>
          <w:rFonts w:ascii="Georgia" w:hAnsi="Georgia"/>
          <w:sz w:val="22"/>
          <w:szCs w:val="22"/>
        </w:rPr>
        <w:t xml:space="preserve">  </w:t>
      </w:r>
      <w:r>
        <w:rPr>
          <w:rFonts w:ascii="Georgia" w:hAnsi="Georgia"/>
          <w:sz w:val="22"/>
          <w:szCs w:val="22"/>
        </w:rPr>
        <w:t>Τέλος αναφέρεται ότι</w:t>
      </w:r>
      <w:r>
        <w:rPr>
          <w:rFonts w:ascii="Georgia" w:hAnsi="Georgia"/>
          <w:sz w:val="22"/>
          <w:szCs w:val="22"/>
        </w:rPr>
        <w:t xml:space="preserve"> οι προωθητικές ενέργειες </w:t>
      </w:r>
      <w:r>
        <w:rPr>
          <w:rFonts w:ascii="Georgia" w:hAnsi="Georgia"/>
          <w:sz w:val="22"/>
          <w:szCs w:val="22"/>
        </w:rPr>
        <w:t xml:space="preserve">στη ρουμανική αγορά </w:t>
      </w:r>
      <w:r>
        <w:rPr>
          <w:rFonts w:ascii="Georgia" w:hAnsi="Georgia"/>
          <w:sz w:val="22"/>
          <w:szCs w:val="22"/>
        </w:rPr>
        <w:t>άρχισαν να αυξάνονται και πάλι το β' τρίμηνο του 2023 και έφτασαν να</w:t>
      </w:r>
      <w:r>
        <w:rPr>
          <w:rFonts w:ascii="Georgia" w:hAnsi="Georgia"/>
          <w:b/>
          <w:bCs/>
          <w:sz w:val="22"/>
          <w:szCs w:val="22"/>
        </w:rPr>
        <w:t xml:space="preserve"> αντιπροσωπεύουν το 24% του συνόλου των πωλήσεων (+3,9%).</w:t>
      </w:r>
      <w:r>
        <w:rPr>
          <w:rFonts w:ascii="Georgia" w:hAnsi="Georgia"/>
          <w:sz w:val="22"/>
          <w:szCs w:val="22"/>
        </w:rPr>
        <w:t xml:space="preserve"> Όλα τα κανάλια του σύγχρονου εμπορίου διέθεσαν στην αγορά </w:t>
      </w:r>
      <w:r>
        <w:rPr>
          <w:rFonts w:ascii="Georgia" w:hAnsi="Georgia"/>
          <w:b/>
          <w:bCs/>
          <w:sz w:val="22"/>
          <w:szCs w:val="22"/>
        </w:rPr>
        <w:t xml:space="preserve">το </w:t>
      </w:r>
      <w:r>
        <w:rPr>
          <w:rFonts w:ascii="Georgia" w:hAnsi="Georgia"/>
          <w:b/>
          <w:bCs/>
          <w:sz w:val="22"/>
          <w:szCs w:val="22"/>
        </w:rPr>
        <w:t xml:space="preserve">Α’Εξάμηνο του </w:t>
      </w:r>
      <w:r>
        <w:rPr>
          <w:rFonts w:ascii="Georgia" w:hAnsi="Georgia"/>
          <w:b/>
          <w:bCs/>
          <w:sz w:val="22"/>
          <w:szCs w:val="22"/>
        </w:rPr>
        <w:t>2023 περισσότερες προσφορές από ό,τι για ολόκληρο το προηγούμενο έτος,</w:t>
      </w:r>
      <w:r>
        <w:rPr>
          <w:rFonts w:ascii="Georgia" w:hAnsi="Georgia"/>
          <w:sz w:val="22"/>
          <w:szCs w:val="22"/>
        </w:rPr>
        <w:t xml:space="preserve"> αλλά, ακόμη και έτσι, η αποτελεσματικότητα των προωθητικών ενεργειών μειώθηκε για όλες τις μακροκατηγορίες προϊόντων, με εξαίρεση τα αλκοολούχα ποτά, των οποίων οι προωθητικές ενέργειες είχαν αποτελεσματικότητα 77,1% το β΄ τρίμηνο του 2023 (έναντι 76,6% το β΄ τρίμηνο του 2022).</w:t>
      </w:r>
    </w:p>
    <w:p>
      <w:pPr>
        <w:pStyle w:val="ListParagraph"/>
        <w:ind w:hanging="0"/>
        <w:jc w:val="both"/>
        <w:rPr/>
      </w:pPr>
      <w:r>
        <w:rPr/>
      </w:r>
    </w:p>
    <w:p>
      <w:pPr>
        <w:pStyle w:val="ListParagraph"/>
        <w:ind w:hanging="0"/>
        <w:jc w:val="both"/>
        <w:rPr>
          <w:rFonts w:ascii="Georgia" w:hAnsi="Georgia" w:eastAsia="Cambria" w:cs="Georgia"/>
          <w:color w:val="000000"/>
          <w:sz w:val="22"/>
          <w:szCs w:val="22"/>
          <w:lang w:val="el-GR"/>
        </w:rPr>
      </w:pPr>
      <w:r>
        <w:rPr>
          <w:rFonts w:eastAsia="Cambria" w:cs="Georgia" w:ascii="Georgia" w:hAnsi="Georgia"/>
          <w:color w:val="000000"/>
          <w:sz w:val="22"/>
          <w:szCs w:val="22"/>
          <w:lang w:val="el-GR"/>
        </w:rPr>
        <w:t xml:space="preserve"> </w:t>
      </w:r>
      <w:r>
        <w:rPr>
          <w:rFonts w:eastAsia="Cambria" w:cs="Georgia" w:ascii="Georgia" w:hAnsi="Georgia"/>
          <w:color w:val="000000"/>
          <w:sz w:val="22"/>
          <w:szCs w:val="22"/>
          <w:lang w:val="el-GR"/>
        </w:rPr>
        <w:t xml:space="preserve">Σημειώνεται τέλος από πλευράς μας και όσον αφορά στους ρ/μακροοικονομικούς δείκτες, ότι στην παρούσα φάση ο πληθωρισμός τον Ιούλιο τ.ε. κυμάνθηκε στο 9,44% σε ετήσια βάση (έναντι 15% του Δεκεμβρίου 2022), το βασικό επιτόκιο δανεισμού της Κεντρικής Τράπεζας βρίσκεται στο 7%, η συναλλαγματική ισοτιμία Ευρώ/RON στο 1 Ευρώ = 4,94 RON, η αύξηση του ΑΕΠ υπολογίζεται στο 3,2% για το 2023, η Ανεργία στο 5,4%, </w:t>
      </w:r>
      <w:r>
        <w:rPr>
          <w:rFonts w:eastAsia="Cambria" w:cs="Georgia" w:ascii="Georgia" w:hAnsi="Georgia"/>
          <w:color w:val="000000"/>
          <w:sz w:val="22"/>
          <w:szCs w:val="22"/>
          <w:lang w:val="el-GR"/>
        </w:rPr>
        <w:t>ενώ όσον αφορά στον ΦΠΑ, ο γενικός είναι στο 19% ενώ για τα τρόφιμα και ποτά είναι μειωμένος στο 9%.</w:t>
      </w:r>
    </w:p>
    <w:p>
      <w:pPr>
        <w:pStyle w:val="ListParagraph"/>
        <w:ind w:hanging="0"/>
        <w:jc w:val="both"/>
        <w:rPr>
          <w:rFonts w:ascii="Georgia" w:hAnsi="Georgia" w:eastAsia="Cambria" w:cs="Georgia"/>
          <w:color w:val="000000"/>
          <w:sz w:val="22"/>
          <w:szCs w:val="22"/>
          <w:lang w:val="el-GR"/>
        </w:rPr>
      </w:pPr>
      <w:r>
        <w:rPr>
          <w:rFonts w:eastAsia="Cambria" w:cs="Georgia" w:ascii="Georgia" w:hAnsi="Georgia"/>
          <w:color w:val="000000"/>
          <w:sz w:val="22"/>
          <w:szCs w:val="22"/>
          <w:lang w:val="el-GR"/>
        </w:rPr>
      </w:r>
    </w:p>
    <w:p>
      <w:pPr>
        <w:pStyle w:val="ListParagraph"/>
        <w:ind w:hanging="0"/>
        <w:jc w:val="both"/>
        <w:rPr>
          <w:rFonts w:ascii="Georgia" w:hAnsi="Georgia" w:eastAsia="Cambria" w:cs="Georgia"/>
          <w:color w:val="000000"/>
          <w:sz w:val="22"/>
          <w:szCs w:val="22"/>
          <w:lang w:val="el-GR"/>
        </w:rPr>
      </w:pPr>
      <w:r>
        <w:rPr>
          <w:rFonts w:eastAsia="Cambria" w:cs="Georgia" w:ascii="Georgia" w:hAnsi="Georgia"/>
          <w:color w:val="000000"/>
          <w:sz w:val="22"/>
          <w:szCs w:val="22"/>
          <w:lang w:val="el-GR"/>
        </w:rPr>
      </w:r>
    </w:p>
    <w:p>
      <w:pPr>
        <w:pStyle w:val="Normal"/>
        <w:jc w:val="both"/>
        <w:rPr>
          <w:rFonts w:ascii="Georgia" w:hAnsi="Georgia"/>
          <w:sz w:val="22"/>
          <w:szCs w:val="22"/>
          <w:u w:val="single"/>
          <w:lang w:val="el-GR"/>
        </w:rPr>
      </w:pPr>
      <w:r>
        <w:rPr>
          <w:rFonts w:ascii="Georgia" w:hAnsi="Georgia"/>
          <w:sz w:val="22"/>
          <w:szCs w:val="22"/>
          <w:u w:val="none"/>
          <w:lang w:val="el-GR"/>
        </w:rPr>
        <w:t xml:space="preserve">                                                                                                          </w:t>
      </w:r>
    </w:p>
    <w:tbl>
      <w:tblPr>
        <w:tblW w:w="3600" w:type="dxa"/>
        <w:jc w:val="left"/>
        <w:tblInd w:w="5509" w:type="dxa"/>
        <w:tblCellMar>
          <w:top w:w="0" w:type="dxa"/>
          <w:left w:w="108" w:type="dxa"/>
          <w:bottom w:w="0" w:type="dxa"/>
          <w:right w:w="108" w:type="dxa"/>
        </w:tblCellMar>
        <w:tblLook w:val="01e0" w:noHBand="0" w:noVBand="0" w:firstColumn="1" w:lastRow="1" w:lastColumn="1" w:firstRow="1"/>
      </w:tblPr>
      <w:tblGrid>
        <w:gridCol w:w="3600"/>
      </w:tblGrid>
      <w:tr>
        <w:trPr/>
        <w:tc>
          <w:tcPr>
            <w:tcW w:w="3600" w:type="dxa"/>
            <w:tcBorders/>
          </w:tcPr>
          <w:p>
            <w:pPr>
              <w:pStyle w:val="Normal"/>
              <w:spacing w:lineRule="auto" w:line="276"/>
              <w:jc w:val="center"/>
              <w:rPr>
                <w:rFonts w:ascii="Georgia" w:hAnsi="Georgia"/>
                <w:sz w:val="22"/>
              </w:rPr>
            </w:pPr>
            <w:r>
              <w:rPr>
                <w:rFonts w:ascii="Georgia" w:hAnsi="Georgia"/>
                <w:sz w:val="22"/>
                <w:szCs w:val="22"/>
                <w:lang w:val="el-GR"/>
              </w:rPr>
              <w:t xml:space="preserve">      </w:t>
            </w:r>
            <w:r>
              <w:rPr>
                <w:rFonts w:ascii="Georgia" w:hAnsi="Georgia"/>
                <w:sz w:val="22"/>
                <w:szCs w:val="22"/>
                <w:lang w:val="el-GR"/>
              </w:rPr>
              <w:t>Ο Δ/νων</w:t>
            </w:r>
          </w:p>
          <w:p>
            <w:pPr>
              <w:pStyle w:val="Normal"/>
              <w:spacing w:lineRule="auto" w:line="276"/>
              <w:rPr>
                <w:rFonts w:ascii="Georgia" w:hAnsi="Georgia"/>
                <w:sz w:val="22"/>
                <w:lang w:val="el-GR"/>
              </w:rPr>
            </w:pPr>
            <w:r>
              <w:rPr>
                <w:rFonts w:ascii="Georgia" w:hAnsi="Georgia"/>
                <w:sz w:val="22"/>
                <w:lang w:val="el-GR"/>
              </w:rPr>
            </w:r>
          </w:p>
        </w:tc>
      </w:tr>
      <w:tr>
        <w:trPr/>
        <w:tc>
          <w:tcPr>
            <w:tcW w:w="3600" w:type="dxa"/>
            <w:tcBorders/>
          </w:tcPr>
          <w:p>
            <w:pPr>
              <w:pStyle w:val="Normal"/>
              <w:spacing w:lineRule="auto" w:line="276"/>
              <w:jc w:val="center"/>
              <w:rPr>
                <w:rFonts w:ascii="Georgia" w:hAnsi="Georgia"/>
                <w:sz w:val="22"/>
              </w:rPr>
            </w:pPr>
            <w:r>
              <w:rPr>
                <w:rFonts w:ascii="Georgia" w:hAnsi="Georgia"/>
                <w:sz w:val="22"/>
                <w:szCs w:val="22"/>
                <w:lang w:val="el-GR"/>
              </w:rPr>
              <w:t xml:space="preserve">             </w:t>
            </w:r>
            <w:r>
              <w:rPr>
                <w:rFonts w:ascii="Georgia" w:hAnsi="Georgia"/>
                <w:sz w:val="22"/>
                <w:szCs w:val="22"/>
                <w:lang w:val="el-GR"/>
              </w:rPr>
              <w:t>Παντελής Γιαννούλης</w:t>
            </w:r>
          </w:p>
        </w:tc>
      </w:tr>
      <w:tr>
        <w:trPr/>
        <w:tc>
          <w:tcPr>
            <w:tcW w:w="3600" w:type="dxa"/>
            <w:tcBorders/>
          </w:tcPr>
          <w:p>
            <w:pPr>
              <w:pStyle w:val="Normal"/>
              <w:spacing w:lineRule="auto" w:line="276"/>
              <w:jc w:val="center"/>
              <w:rPr>
                <w:rFonts w:ascii="Georgia" w:hAnsi="Georgia"/>
                <w:sz w:val="22"/>
              </w:rPr>
            </w:pPr>
            <w:r>
              <w:rPr>
                <w:rFonts w:ascii="Georgia" w:hAnsi="Georgia"/>
                <w:sz w:val="22"/>
                <w:szCs w:val="22"/>
                <w:lang w:val="el-GR"/>
              </w:rPr>
              <w:t xml:space="preserve">             </w:t>
            </w:r>
            <w:r>
              <w:rPr>
                <w:rFonts w:ascii="Georgia" w:hAnsi="Georgia"/>
                <w:sz w:val="22"/>
                <w:szCs w:val="22"/>
                <w:lang w:val="el-GR"/>
              </w:rPr>
              <w:t>Σύμβουλος ΟΕΥ Α΄</w:t>
            </w:r>
          </w:p>
        </w:tc>
      </w:tr>
    </w:tbl>
    <w:p>
      <w:pPr>
        <w:pStyle w:val="Normal"/>
        <w:jc w:val="both"/>
        <w:rPr>
          <w:rFonts w:ascii="Georgia" w:hAnsi="Georgia"/>
          <w:sz w:val="22"/>
          <w:szCs w:val="22"/>
          <w:u w:val="single"/>
        </w:rPr>
      </w:pPr>
      <w:r>
        <w:rPr/>
      </w:r>
    </w:p>
    <w:sectPr>
      <w:footerReference w:type="default" r:id="rId3"/>
      <w:type w:val="nextPage"/>
      <w:pgSz w:w="11906" w:h="16838"/>
      <w:pgMar w:left="810" w:right="746" w:header="0" w:top="540" w:footer="288"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Liberation Sans">
    <w:altName w:val="Arial"/>
    <w:charset w:val="01"/>
    <w:family w:val="roman"/>
    <w:pitch w:val="variable"/>
  </w:font>
  <w:font w:name="Tahoma">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41258208"/>
    </w:sdtPr>
    <w:sdtContent>
      <w:p>
        <w:pPr>
          <w:pStyle w:val="Footer"/>
          <w:jc w:val="right"/>
          <w:rPr/>
        </w:pPr>
        <w:r>
          <w:rPr/>
          <w:fldChar w:fldCharType="begin"/>
        </w:r>
        <w:r>
          <w:rPr/>
          <w:instrText> PAGE </w:instrText>
        </w:r>
        <w:r>
          <w:rPr/>
          <w:fldChar w:fldCharType="separate"/>
        </w:r>
        <w:r>
          <w:rPr/>
          <w:t>2</w:t>
        </w:r>
        <w:r>
          <w:rPr/>
          <w:fldChar w:fldCharType="end"/>
        </w:r>
      </w:p>
      <w:p>
        <w:pPr>
          <w:pStyle w:val="Footer"/>
          <w:jc w:val="center"/>
          <w:rPr>
            <w:lang w:val="en-GB"/>
          </w:rPr>
        </w:pPr>
        <w:r>
          <w:rPr>
            <w:lang w:val="en-GB"/>
          </w:rPr>
        </w:r>
      </w:p>
    </w:sdtContent>
  </w:sdt>
</w:ftr>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47973"/>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uiPriority w:val="99"/>
    <w:qFormat/>
    <w:rsid w:val="00747973"/>
    <w:pPr>
      <w:keepNext w:val="true"/>
      <w:spacing w:before="240" w:after="60"/>
      <w:outlineLvl w:val="0"/>
    </w:pPr>
    <w:rPr>
      <w:rFonts w:ascii="Arial" w:hAnsi="Arial" w:cs="Arial"/>
      <w:b/>
      <w:bCs/>
      <w:kern w:val="2"/>
      <w:sz w:val="32"/>
      <w:szCs w:val="32"/>
    </w:rPr>
  </w:style>
  <w:style w:type="paragraph" w:styleId="Heading2">
    <w:name w:val="Heading 2"/>
    <w:basedOn w:val="Normal"/>
    <w:next w:val="Normal"/>
    <w:link w:val="Heading2Char"/>
    <w:unhideWhenUsed/>
    <w:qFormat/>
    <w:locked/>
    <w:rsid w:val="0021604b"/>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semiHidden/>
    <w:unhideWhenUsed/>
    <w:qFormat/>
    <w:locked/>
    <w:rsid w:val="0021604b"/>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qFormat/>
    <w:pPr>
      <w:keepNext w:val="true"/>
      <w:spacing w:before="240" w:after="60"/>
      <w:outlineLvl w:val="3"/>
    </w:pPr>
    <w:rPr>
      <w:b/>
      <w:bCs/>
      <w:sz w:val="28"/>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locked/>
    <w:rsid w:val="00747973"/>
    <w:rPr>
      <w:rFonts w:ascii="Arial" w:hAnsi="Arial" w:cs="Arial"/>
      <w:b/>
      <w:bCs/>
      <w:kern w:val="2"/>
      <w:sz w:val="32"/>
      <w:szCs w:val="32"/>
      <w:lang w:val="en-US" w:eastAsia="en-US" w:bidi="ar-SA"/>
    </w:rPr>
  </w:style>
  <w:style w:type="character" w:styleId="InternetLink">
    <w:name w:val="Hyperlink"/>
    <w:basedOn w:val="DefaultParagraphFont"/>
    <w:uiPriority w:val="99"/>
    <w:rsid w:val="00747973"/>
    <w:rPr>
      <w:rFonts w:cs="Times New Roman"/>
      <w:color w:val="0000FF"/>
      <w:u w:val="none"/>
      <w:effect w:val="none"/>
    </w:rPr>
  </w:style>
  <w:style w:type="character" w:styleId="BalloonTextChar" w:customStyle="1">
    <w:name w:val="Balloon Text Char"/>
    <w:basedOn w:val="DefaultParagraphFont"/>
    <w:link w:val="BalloonText"/>
    <w:uiPriority w:val="99"/>
    <w:semiHidden/>
    <w:qFormat/>
    <w:locked/>
    <w:rsid w:val="00a13978"/>
    <w:rPr>
      <w:rFonts w:cs="Times New Roman"/>
      <w:sz w:val="2"/>
    </w:rPr>
  </w:style>
  <w:style w:type="character" w:styleId="Emphasis">
    <w:name w:val="Emphasis"/>
    <w:basedOn w:val="DefaultParagraphFont"/>
    <w:qFormat/>
    <w:locked/>
    <w:rsid w:val="00eb1d3a"/>
    <w:rPr>
      <w:i/>
      <w:iCs/>
    </w:rPr>
  </w:style>
  <w:style w:type="character" w:styleId="St" w:customStyle="1">
    <w:name w:val="st"/>
    <w:basedOn w:val="DefaultParagraphFont"/>
    <w:qFormat/>
    <w:rsid w:val="00ab4b94"/>
    <w:rPr/>
  </w:style>
  <w:style w:type="character" w:styleId="HeaderChar" w:customStyle="1">
    <w:name w:val="Header Char"/>
    <w:basedOn w:val="DefaultParagraphFont"/>
    <w:link w:val="Header"/>
    <w:uiPriority w:val="99"/>
    <w:qFormat/>
    <w:rsid w:val="00ed567b"/>
    <w:rPr>
      <w:sz w:val="24"/>
      <w:szCs w:val="24"/>
    </w:rPr>
  </w:style>
  <w:style w:type="character" w:styleId="FooterChar" w:customStyle="1">
    <w:name w:val="Footer Char"/>
    <w:basedOn w:val="DefaultParagraphFont"/>
    <w:link w:val="Footer"/>
    <w:uiPriority w:val="99"/>
    <w:qFormat/>
    <w:rsid w:val="00ed567b"/>
    <w:rPr>
      <w:sz w:val="24"/>
      <w:szCs w:val="24"/>
    </w:rPr>
  </w:style>
  <w:style w:type="character" w:styleId="Heading2Char" w:customStyle="1">
    <w:name w:val="Heading 2 Char"/>
    <w:basedOn w:val="DefaultParagraphFont"/>
    <w:link w:val="Heading2"/>
    <w:qFormat/>
    <w:rsid w:val="0021604b"/>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semiHidden/>
    <w:qFormat/>
    <w:rsid w:val="0021604b"/>
    <w:rPr>
      <w:rFonts w:ascii="Cambria" w:hAnsi="Cambria" w:eastAsia="" w:cs="" w:asciiTheme="majorHAnsi" w:cstheme="majorBidi" w:eastAsiaTheme="majorEastAsia" w:hAnsiTheme="majorHAnsi"/>
      <w:b/>
      <w:bCs/>
      <w:color w:val="4F81BD" w:themeColor="accent1"/>
      <w:sz w:val="24"/>
      <w:szCs w:val="24"/>
    </w:rPr>
  </w:style>
  <w:style w:type="character" w:styleId="Strong">
    <w:name w:val="Strong"/>
    <w:basedOn w:val="DefaultParagraphFont"/>
    <w:qFormat/>
    <w:locked/>
    <w:rsid w:val="0021604b"/>
    <w:rPr>
      <w:b/>
      <w:bCs/>
    </w:rPr>
  </w:style>
  <w:style w:type="character" w:styleId="Muted" w:customStyle="1">
    <w:name w:val="muted"/>
    <w:basedOn w:val="DefaultParagraphFont"/>
    <w:qFormat/>
    <w:rsid w:val="0021604b"/>
    <w:rPr/>
  </w:style>
  <w:style w:type="character" w:styleId="Jlqj4b" w:customStyle="1">
    <w:name w:val="jlqj4b"/>
    <w:basedOn w:val="DefaultParagraphFont"/>
    <w:qFormat/>
    <w:rsid w:val="005e69c1"/>
    <w:rPr/>
  </w:style>
  <w:style w:type="character" w:styleId="Zmsearchresult" w:customStyle="1">
    <w:name w:val="zmsearchresult"/>
    <w:basedOn w:val="DefaultParagraphFont"/>
    <w:qFormat/>
    <w:rsid w:val="00417ae3"/>
    <w:rPr/>
  </w:style>
  <w:style w:type="character" w:styleId="EndnoteTextChar" w:customStyle="1">
    <w:name w:val="Endnote Text Char"/>
    <w:basedOn w:val="DefaultParagraphFont"/>
    <w:link w:val="EndnoteText"/>
    <w:uiPriority w:val="99"/>
    <w:semiHidden/>
    <w:qFormat/>
    <w:rsid w:val="00e42046"/>
    <w:rPr>
      <w:sz w:val="20"/>
      <w:szCs w:val="20"/>
    </w:rPr>
  </w:style>
  <w:style w:type="character" w:styleId="EndnoteCharacters" w:customStyle="1">
    <w:name w:val="Endnote Characters"/>
    <w:basedOn w:val="DefaultParagraphFont"/>
    <w:uiPriority w:val="99"/>
    <w:semiHidden/>
    <w:unhideWhenUsed/>
    <w:qFormat/>
    <w:rsid w:val="00e42046"/>
    <w:rPr>
      <w:vertAlign w:val="superscript"/>
    </w:rPr>
  </w:style>
  <w:style w:type="character" w:styleId="EndnoteAnchor" w:customStyle="1">
    <w:name w:val="Endnote Anchor"/>
    <w:rPr>
      <w:vertAlign w:val="superscript"/>
    </w:rPr>
  </w:style>
  <w:style w:type="character" w:styleId="Object" w:customStyle="1">
    <w:name w:val="object"/>
    <w:basedOn w:val="DefaultParagraphFont"/>
    <w:qFormat/>
    <w:rsid w:val="00d4479d"/>
    <w:rPr/>
  </w:style>
  <w:style w:type="character" w:styleId="UnresolvedMention1" w:customStyle="1">
    <w:name w:val="Unresolved Mention1"/>
    <w:basedOn w:val="DefaultParagraphFont"/>
    <w:uiPriority w:val="99"/>
    <w:semiHidden/>
    <w:unhideWhenUsed/>
    <w:qFormat/>
    <w:rsid w:val="004971c1"/>
    <w:rPr>
      <w:color w:val="605E5C"/>
      <w:shd w:fill="E1DFDD" w:val="clear"/>
    </w:rPr>
  </w:style>
  <w:style w:type="character" w:styleId="VisitedInternetLink">
    <w:name w:val="FollowedHyperlink"/>
    <w:rPr>
      <w:color w:val="800080"/>
      <w:u w:val="single"/>
    </w:rPr>
  </w:style>
  <w:style w:type="character" w:styleId="StrongEmphasis" w:customStyle="1">
    <w:name w:val="Strong Emphasis"/>
    <w:qFormat/>
    <w:rPr>
      <w:b/>
      <w:bCs/>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Viiyi" w:customStyle="1">
    <w:name w:val="viiyi"/>
    <w:qFormat/>
    <w:rPr/>
  </w:style>
  <w:style w:type="character" w:styleId="Markedcontent" w:customStyle="1">
    <w:name w:val="markedcontent"/>
    <w:qFormat/>
    <w:rPr/>
  </w:style>
  <w:style w:type="character" w:styleId="Yiv8020571693appleconvertedspace" w:customStyle="1">
    <w:name w:val="yiv8020571693apple-converted-space"/>
    <w:qFormat/>
    <w:rPr/>
  </w:style>
  <w:style w:type="character" w:styleId="Yiv8020571693s1" w:customStyle="1">
    <w:name w:val="yiv8020571693s1"/>
    <w:qFormat/>
    <w:rPr/>
  </w:style>
  <w:style w:type="character" w:styleId="Yiv3196838396appleconvertedspace" w:customStyle="1">
    <w:name w:val="yiv3196838396apple-converted-space"/>
    <w:qFormat/>
    <w:rPr/>
  </w:style>
  <w:style w:type="character" w:styleId="Yiv3196838396s1" w:customStyle="1">
    <w:name w:val="yiv3196838396s1"/>
    <w:qFormat/>
    <w:rPr/>
  </w:style>
  <w:style w:type="character" w:styleId="PlainTextChar" w:customStyle="1">
    <w:name w:val="Plain Text Char"/>
    <w:qFormat/>
    <w:rPr>
      <w:rFonts w:ascii="Courier New" w:hAnsi="Courier New" w:eastAsia="Courier New"/>
      <w:lang w:val="en-US"/>
    </w:rPr>
  </w:style>
  <w:style w:type="character" w:styleId="WWDefaultParagraphFont" w:customStyle="1">
    <w:name w:val="WW-Default Paragraph Font"/>
    <w:qFormat/>
    <w:rPr/>
  </w:style>
  <w:style w:type="character" w:styleId="WW8Num2z2" w:customStyle="1">
    <w:name w:val="WW8Num2z2"/>
    <w:qFormat/>
    <w:rPr>
      <w:rFonts w:ascii="Wingdings" w:hAnsi="Wingdings" w:eastAsia="Wingdings"/>
    </w:rPr>
  </w:style>
  <w:style w:type="character" w:styleId="WW8Num2z1" w:customStyle="1">
    <w:name w:val="WW8Num2z1"/>
    <w:qFormat/>
    <w:rPr>
      <w:rFonts w:ascii="Courier New" w:hAnsi="Courier New" w:eastAsia="Courier New"/>
    </w:rPr>
  </w:style>
  <w:style w:type="character" w:styleId="WW8Num2z0" w:customStyle="1">
    <w:name w:val="WW8Num2z0"/>
    <w:qFormat/>
    <w:rPr>
      <w:rFonts w:ascii="Symbol" w:hAnsi="Symbol" w:eastAsia="Symbol"/>
    </w:rPr>
  </w:style>
  <w:style w:type="character" w:styleId="WW8Num1z4" w:customStyle="1">
    <w:name w:val="WW8Num1z4"/>
    <w:qFormat/>
    <w:rPr>
      <w:rFonts w:ascii="Courier New" w:hAnsi="Courier New" w:eastAsia="Courier New"/>
    </w:rPr>
  </w:style>
  <w:style w:type="character" w:styleId="WW8Num1z2" w:customStyle="1">
    <w:name w:val="WW8Num1z2"/>
    <w:qFormat/>
    <w:rPr>
      <w:rFonts w:ascii="Wingdings" w:hAnsi="Wingdings" w:eastAsia="Wingdings"/>
    </w:rPr>
  </w:style>
  <w:style w:type="character" w:styleId="WW8Num1z1" w:customStyle="1">
    <w:name w:val="WW8Num1z1"/>
    <w:qFormat/>
    <w:rPr>
      <w:rFonts w:ascii="Arial" w:hAnsi="Arial" w:eastAsia="Arial"/>
    </w:rPr>
  </w:style>
  <w:style w:type="character" w:styleId="WW8Num1z0" w:customStyle="1">
    <w:name w:val="WW8Num1z0"/>
    <w:qFormat/>
    <w:rPr>
      <w:rFonts w:ascii="Symbol" w:hAnsi="Symbol" w:eastAsia="Symbol"/>
    </w:rPr>
  </w:style>
  <w:style w:type="character" w:styleId="UnresolvedMention">
    <w:name w:val="Unresolved Mention"/>
    <w:basedOn w:val="DefaultParagraphFont"/>
    <w:uiPriority w:val="99"/>
    <w:semiHidden/>
    <w:unhideWhenUsed/>
    <w:qFormat/>
    <w:rsid w:val="00615a6d"/>
    <w:rPr>
      <w:color w:val="605E5C"/>
      <w:shd w:fill="E1DFDD" w:val="clear"/>
    </w:rPr>
  </w:style>
  <w:style w:type="character" w:styleId="Slugsubtitlesc1x0zdv94" w:customStyle="1">
    <w:name w:val="slug__subtitle-sc-1x0zdv9-4"/>
    <w:basedOn w:val="DefaultParagraphFont"/>
    <w:qFormat/>
    <w:rsid w:val="00747d56"/>
    <w:rPr/>
  </w:style>
  <w:style w:type="character" w:styleId="Green" w:customStyle="1">
    <w:name w:val="green"/>
    <w:basedOn w:val="DefaultParagraphFont"/>
    <w:qFormat/>
    <w:rsid w:val="00f80e57"/>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rPr>
      <w:b/>
      <w:color w:val="4F81BD"/>
      <w:sz w:val="18"/>
    </w:rPr>
  </w:style>
  <w:style w:type="paragraph" w:styleId="BalloonText">
    <w:name w:val="Balloon Text"/>
    <w:basedOn w:val="Normal"/>
    <w:link w:val="BalloonTextChar"/>
    <w:uiPriority w:val="99"/>
    <w:semiHidden/>
    <w:qFormat/>
    <w:rsid w:val="00984e92"/>
    <w:pPr/>
    <w:rPr>
      <w:rFonts w:ascii="Tahoma" w:hAnsi="Tahoma" w:cs="Tahoma"/>
      <w:sz w:val="16"/>
      <w:szCs w:val="16"/>
    </w:rPr>
  </w:style>
  <w:style w:type="paragraph" w:styleId="NormalWeb">
    <w:name w:val="Normal (Web)"/>
    <w:basedOn w:val="Normal"/>
    <w:uiPriority w:val="99"/>
    <w:semiHidden/>
    <w:unhideWhenUsed/>
    <w:qFormat/>
    <w:rsid w:val="000447aa"/>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ed567b"/>
    <w:pPr>
      <w:tabs>
        <w:tab w:val="clear" w:pos="709"/>
        <w:tab w:val="center" w:pos="4153" w:leader="none"/>
        <w:tab w:val="right" w:pos="8306" w:leader="none"/>
      </w:tabs>
    </w:pPr>
    <w:rPr/>
  </w:style>
  <w:style w:type="paragraph" w:styleId="Footer">
    <w:name w:val="Footer"/>
    <w:basedOn w:val="Normal"/>
    <w:link w:val="FooterChar"/>
    <w:uiPriority w:val="99"/>
    <w:unhideWhenUsed/>
    <w:rsid w:val="00ed567b"/>
    <w:pPr>
      <w:tabs>
        <w:tab w:val="clear" w:pos="709"/>
        <w:tab w:val="center" w:pos="4153" w:leader="none"/>
        <w:tab w:val="right" w:pos="8306" w:leader="none"/>
      </w:tabs>
    </w:pPr>
    <w:rPr/>
  </w:style>
  <w:style w:type="paragraph" w:styleId="ListParagraph">
    <w:name w:val="List Paragraph"/>
    <w:basedOn w:val="Normal"/>
    <w:uiPriority w:val="34"/>
    <w:qFormat/>
    <w:rsid w:val="003041e4"/>
    <w:pPr>
      <w:spacing w:before="0" w:after="0"/>
      <w:ind w:left="720" w:hanging="0"/>
      <w:contextualSpacing/>
    </w:pPr>
    <w:rPr/>
  </w:style>
  <w:style w:type="paragraph" w:styleId="Endnote">
    <w:name w:val="Endnote Text"/>
    <w:basedOn w:val="Normal"/>
    <w:link w:val="EndnoteTextChar"/>
    <w:uiPriority w:val="99"/>
    <w:semiHidden/>
    <w:unhideWhenUsed/>
    <w:rsid w:val="00e42046"/>
    <w:pPr/>
    <w:rPr>
      <w:sz w:val="20"/>
      <w:szCs w:val="20"/>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00"/>
      <w:sz w:val="20"/>
      <w:szCs w:val="20"/>
    </w:rPr>
  </w:style>
  <w:style w:type="paragraph" w:styleId="FrameContents" w:customStyle="1">
    <w:name w:val="Frame Contents"/>
    <w:basedOn w:val="Normal"/>
    <w:qFormat/>
    <w:pPr/>
    <w:rPr/>
  </w:style>
  <w:style w:type="paragraph" w:styleId="NoSpacing">
    <w:name w:val="No Spacing"/>
    <w:basedOn w:val="Normal"/>
    <w:qFormat/>
    <w:pPr>
      <w:jc w:val="both"/>
    </w:pPr>
    <w:rPr>
      <w:rFonts w:ascii="Georgia" w:hAnsi="Georgia" w:eastAsia="Georgia"/>
      <w:sz w:val="20"/>
      <w:szCs w:val="32"/>
      <w:lang w:eastAsia="ar-SA"/>
    </w:rPr>
  </w:style>
  <w:style w:type="paragraph" w:styleId="TOCHeading1" w:customStyle="1">
    <w:name w:val="TOC Heading1"/>
    <w:basedOn w:val="Heading1"/>
    <w:qFormat/>
    <w:pPr/>
    <w:rPr>
      <w:rFonts w:eastAsia="Arial"/>
      <w:lang w:eastAsia="ar-SA"/>
    </w:rPr>
  </w:style>
  <w:style w:type="paragraph" w:styleId="Yiv8020571693p1" w:customStyle="1">
    <w:name w:val="yiv8020571693p1"/>
    <w:basedOn w:val="Normal"/>
    <w:qFormat/>
    <w:pPr>
      <w:spacing w:before="280" w:after="280"/>
    </w:pPr>
    <w:rPr>
      <w:lang w:val="en-GB"/>
    </w:rPr>
  </w:style>
  <w:style w:type="paragraph" w:styleId="Yiv3196838396p1" w:customStyle="1">
    <w:name w:val="yiv3196838396p1"/>
    <w:basedOn w:val="Normal"/>
    <w:qFormat/>
    <w:pPr>
      <w:spacing w:before="280" w:after="280"/>
    </w:pPr>
    <w:rPr>
      <w:lang w:val="en-GB"/>
    </w:rPr>
  </w:style>
  <w:style w:type="paragraph" w:styleId="PlainText">
    <w:name w:val="Plain Text"/>
    <w:basedOn w:val="Normal"/>
    <w:qFormat/>
    <w:pPr/>
    <w:rPr>
      <w:rFonts w:ascii="Courier New" w:hAnsi="Courier New" w:eastAsia="Courier New"/>
      <w:sz w:val="20"/>
      <w:szCs w:val="20"/>
      <w:lang w:eastAsia="ar-SA"/>
    </w:rPr>
  </w:style>
  <w:style w:type="paragraph" w:styleId="Slugdescriptionsc1x0zdv93" w:customStyle="1">
    <w:name w:val="slug__description-sc-1x0zdv9-3"/>
    <w:basedOn w:val="Normal"/>
    <w:qFormat/>
    <w:rsid w:val="00e210b8"/>
    <w:pPr>
      <w:suppressAutoHyphens w:val="false"/>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99"/>
    <w:rsid w:val="00aa053e"/>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000F5-5024-4A39-BD7F-46B2B186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Application>LibreOffice/6.4.7.2$Linux_X86_64 LibreOffice_project/40$Build-2</Application>
  <Pages>2</Pages>
  <Words>864</Words>
  <Characters>4768</Characters>
  <CharactersWithSpaces>5872</CharactersWithSpaces>
  <Paragraphs>33</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2023-09-09T10:31:00Z</dcterms:created>
  <dc:creator>dimitra.schina</dc:creator>
  <dc:description/>
  <dc:language>en-US</dc:language>
  <cp:lastModifiedBy/>
  <cp:lastPrinted>2023-09-13T10:42:55Z</cp:lastPrinted>
  <dcterms:modified xsi:type="dcterms:W3CDTF">2023-09-13T10:47:02Z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