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</w:tblGrid>
      <w:tr w:rsidR="00803C9C">
        <w:tc>
          <w:tcPr>
            <w:tcW w:w="6030" w:type="dxa"/>
          </w:tcPr>
          <w:p w:rsidR="00803C9C" w:rsidRDefault="004D1A5D">
            <w:pPr>
              <w:spacing w:line="276" w:lineRule="auto"/>
              <w:jc w:val="center"/>
              <w:rPr>
                <w:rFonts w:asciiTheme="majorHAnsi" w:hAnsiTheme="majorHAnsi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639445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376" b="4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C9C" w:rsidRPr="006A542B">
        <w:tc>
          <w:tcPr>
            <w:tcW w:w="6030" w:type="dxa"/>
          </w:tcPr>
          <w:p w:rsidR="00803C9C" w:rsidRDefault="004D1A5D">
            <w:pPr>
              <w:spacing w:line="276" w:lineRule="auto"/>
              <w:jc w:val="center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ΠΡΕΣΒΕΙΑ THΣ ΕΛΛΑΔOΣ ΣΤΟ ΒΟΥΚΟΥΡΕΣΤΙ</w:t>
            </w:r>
          </w:p>
          <w:p w:rsidR="00803C9C" w:rsidRDefault="004D1A5D">
            <w:pPr>
              <w:pStyle w:val="1"/>
              <w:spacing w:before="0" w:after="0" w:line="276" w:lineRule="auto"/>
              <w:jc w:val="center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 w:cs="Times New Roman"/>
                <w:sz w:val="22"/>
                <w:szCs w:val="22"/>
                <w:lang w:val="el-GR"/>
              </w:rPr>
              <w:t>ΓΡΑΦΕΙΟ ΟΙΚΟΝΟΜΙΚΩΝ &amp; ΕΜΠΟΡΙΚΩΝ ΥΠΟΘΕΣΕΩΝ</w:t>
            </w:r>
          </w:p>
          <w:p w:rsidR="00803C9C" w:rsidRDefault="00803C9C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sz w:val="22"/>
                <w:lang w:val="el-GR"/>
              </w:rPr>
            </w:pPr>
          </w:p>
        </w:tc>
      </w:tr>
    </w:tbl>
    <w:p w:rsidR="00803C9C" w:rsidRDefault="00803C9C">
      <w:pPr>
        <w:spacing w:line="276" w:lineRule="auto"/>
        <w:jc w:val="right"/>
        <w:rPr>
          <w:rFonts w:ascii="Georgia" w:hAnsi="Georgia"/>
          <w:b/>
          <w:sz w:val="22"/>
          <w:szCs w:val="22"/>
          <w:lang w:val="el-GR"/>
        </w:rPr>
      </w:pPr>
    </w:p>
    <w:p w:rsidR="00803C9C" w:rsidRDefault="004D1A5D">
      <w:pPr>
        <w:spacing w:line="276" w:lineRule="auto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ΑΔΙΑΒΑΘΜΗΤΟ</w:t>
      </w:r>
    </w:p>
    <w:p w:rsidR="00803C9C" w:rsidRDefault="004D1A5D">
      <w:pPr>
        <w:spacing w:line="276" w:lineRule="auto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ΚΑΝΟΝΙΚΟ</w:t>
      </w:r>
    </w:p>
    <w:tbl>
      <w:tblPr>
        <w:tblW w:w="3392" w:type="dxa"/>
        <w:jc w:val="right"/>
        <w:tblLook w:val="01E0" w:firstRow="1" w:lastRow="1" w:firstColumn="1" w:lastColumn="1" w:noHBand="0" w:noVBand="0"/>
      </w:tblPr>
      <w:tblGrid>
        <w:gridCol w:w="3392"/>
      </w:tblGrid>
      <w:tr w:rsidR="00803C9C">
        <w:trPr>
          <w:trHeight w:val="585"/>
          <w:jc w:val="right"/>
        </w:trPr>
        <w:tc>
          <w:tcPr>
            <w:tcW w:w="3392" w:type="dxa"/>
          </w:tcPr>
          <w:p w:rsidR="00803C9C" w:rsidRDefault="00803C9C">
            <w:pPr>
              <w:spacing w:line="276" w:lineRule="auto"/>
              <w:rPr>
                <w:rFonts w:asciiTheme="majorHAnsi" w:hAnsiTheme="majorHAnsi"/>
                <w:sz w:val="22"/>
                <w:lang w:val="el-GR"/>
              </w:rPr>
            </w:pPr>
          </w:p>
          <w:p w:rsidR="00803C9C" w:rsidRDefault="004D1A5D">
            <w:pPr>
              <w:spacing w:line="276" w:lineRule="auto"/>
              <w:jc w:val="both"/>
              <w:rPr>
                <w:rFonts w:asciiTheme="majorHAnsi" w:hAnsiTheme="majorHAnsi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17 Νοεμβρίου </w:t>
            </w:r>
            <w:r>
              <w:rPr>
                <w:rFonts w:ascii="Georgia" w:hAnsi="Georgia"/>
                <w:sz w:val="22"/>
                <w:szCs w:val="22"/>
              </w:rPr>
              <w:t>20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23</w:t>
            </w:r>
          </w:p>
          <w:p w:rsidR="00803C9C" w:rsidRDefault="004D1A5D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ΑΠ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Φ</w:t>
            </w:r>
            <w:r>
              <w:rPr>
                <w:rFonts w:ascii="Georgia" w:hAnsi="Georgia"/>
                <w:sz w:val="22"/>
                <w:szCs w:val="22"/>
              </w:rPr>
              <w:t xml:space="preserve"> : 2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700</w:t>
            </w:r>
            <w:r>
              <w:rPr>
                <w:rFonts w:ascii="Georgia" w:hAnsi="Georgia"/>
                <w:sz w:val="22"/>
                <w:szCs w:val="22"/>
              </w:rPr>
              <w:t>/1990</w:t>
            </w:r>
          </w:p>
          <w:p w:rsidR="00803C9C" w:rsidRDefault="00803C9C">
            <w:pPr>
              <w:spacing w:line="276" w:lineRule="auto"/>
              <w:jc w:val="right"/>
              <w:rPr>
                <w:rFonts w:asciiTheme="majorHAnsi" w:hAnsiTheme="majorHAnsi"/>
                <w:sz w:val="22"/>
                <w:lang w:val="el-GR"/>
              </w:rPr>
            </w:pPr>
          </w:p>
        </w:tc>
      </w:tr>
    </w:tbl>
    <w:p w:rsidR="00803C9C" w:rsidRDefault="00803C9C">
      <w:pPr>
        <w:spacing w:line="276" w:lineRule="auto"/>
        <w:rPr>
          <w:rFonts w:asciiTheme="majorHAnsi" w:hAnsiTheme="majorHAnsi"/>
          <w:sz w:val="22"/>
          <w:szCs w:val="22"/>
        </w:rPr>
      </w:pPr>
    </w:p>
    <w:tbl>
      <w:tblPr>
        <w:tblW w:w="9984" w:type="dxa"/>
        <w:tblInd w:w="109" w:type="dxa"/>
        <w:tblLook w:val="01E0" w:firstRow="1" w:lastRow="1" w:firstColumn="1" w:lastColumn="1" w:noHBand="0" w:noVBand="0"/>
      </w:tblPr>
      <w:tblGrid>
        <w:gridCol w:w="1165"/>
        <w:gridCol w:w="8819"/>
      </w:tblGrid>
      <w:tr w:rsidR="00803C9C">
        <w:tc>
          <w:tcPr>
            <w:tcW w:w="1165" w:type="dxa"/>
          </w:tcPr>
          <w:p w:rsidR="00803C9C" w:rsidRDefault="004D1A5D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ΠΡΟΣ:</w:t>
            </w:r>
          </w:p>
        </w:tc>
        <w:tc>
          <w:tcPr>
            <w:tcW w:w="8818" w:type="dxa"/>
          </w:tcPr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Β</w:t>
            </w:r>
            <w:r>
              <w:rPr>
                <w:rFonts w:ascii="Georgia" w:hAnsi="Georgia"/>
                <w:sz w:val="22"/>
                <w:szCs w:val="22"/>
              </w:rPr>
              <w:t>4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Δ/νση</w:t>
            </w:r>
          </w:p>
          <w:p w:rsidR="00803C9C" w:rsidRDefault="00803C9C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</w:p>
        </w:tc>
      </w:tr>
      <w:tr w:rsidR="00803C9C" w:rsidRPr="006A542B">
        <w:tc>
          <w:tcPr>
            <w:tcW w:w="1165" w:type="dxa"/>
          </w:tcPr>
          <w:p w:rsidR="00803C9C" w:rsidRDefault="004D1A5D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ΚΟΙΝ.:</w:t>
            </w:r>
          </w:p>
        </w:tc>
        <w:tc>
          <w:tcPr>
            <w:tcW w:w="8818" w:type="dxa"/>
          </w:tcPr>
          <w:p w:rsidR="00803C9C" w:rsidRDefault="004D1A5D">
            <w:pPr>
              <w:spacing w:line="276" w:lineRule="auto"/>
              <w:jc w:val="both"/>
              <w:rPr>
                <w:b/>
                <w:bCs/>
                <w:lang w:val="el-GR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1. ΥΠΕΞ</w:t>
            </w:r>
          </w:p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Δ.Γ.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κ.Υπουργού</w:t>
            </w:r>
            <w:proofErr w:type="spellEnd"/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</w:t>
            </w:r>
          </w:p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Δ.Γ. Υφυπουργού κας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Α.Παπαδοπούλου</w:t>
            </w:r>
            <w:proofErr w:type="spellEnd"/>
          </w:p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Δ.Γ.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Υφυπουργού κ.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Φραγκογιάννη</w:t>
            </w:r>
            <w:proofErr w:type="spellEnd"/>
          </w:p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Γραφείο κας Γ.Γ. ΔΟΣ και Εξωστρέφειας</w:t>
            </w:r>
          </w:p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Γραφείο κας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Β΄Γεν</w:t>
            </w:r>
            <w:proofErr w:type="spellEnd"/>
            <w:r>
              <w:rPr>
                <w:rFonts w:ascii="Georgia" w:hAnsi="Georgia"/>
                <w:sz w:val="22"/>
                <w:szCs w:val="22"/>
                <w:lang w:val="el-GR"/>
              </w:rPr>
              <w:t>. Δ/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ντριας</w:t>
            </w:r>
            <w:proofErr w:type="spellEnd"/>
          </w:p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Β1, Β2 Δ/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νσεις</w:t>
            </w:r>
            <w:proofErr w:type="spellEnd"/>
          </w:p>
          <w:p w:rsidR="00803C9C" w:rsidRDefault="00803C9C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</w:p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2"/>
                <w:lang w:val="el-GR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2. Επιμελητήρια-Σύνδεσμοι-Φορείς</w:t>
            </w:r>
          </w:p>
          <w:p w:rsidR="00803C9C" w:rsidRDefault="00803C9C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</w:p>
          <w:p w:rsidR="00803C9C" w:rsidRDefault="00803C9C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</w:p>
        </w:tc>
      </w:tr>
      <w:tr w:rsidR="00803C9C">
        <w:tc>
          <w:tcPr>
            <w:tcW w:w="1165" w:type="dxa"/>
          </w:tcPr>
          <w:p w:rsidR="00803C9C" w:rsidRDefault="004D1A5D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Ε.Δ.:</w:t>
            </w:r>
          </w:p>
        </w:tc>
        <w:tc>
          <w:tcPr>
            <w:tcW w:w="8818" w:type="dxa"/>
          </w:tcPr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Γραφείο κας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Πρέσβεως</w:t>
            </w:r>
            <w:proofErr w:type="spellEnd"/>
          </w:p>
          <w:p w:rsidR="00803C9C" w:rsidRDefault="00803C9C">
            <w:pPr>
              <w:spacing w:line="276" w:lineRule="auto"/>
              <w:jc w:val="both"/>
              <w:rPr>
                <w:rFonts w:ascii="Georgia" w:hAnsi="Georgia"/>
                <w:b/>
                <w:sz w:val="22"/>
                <w:lang w:val="el-GR"/>
              </w:rPr>
            </w:pPr>
          </w:p>
          <w:p w:rsidR="00803C9C" w:rsidRDefault="00803C9C">
            <w:pPr>
              <w:spacing w:line="276" w:lineRule="auto"/>
              <w:jc w:val="both"/>
              <w:rPr>
                <w:rFonts w:ascii="Georgia" w:hAnsi="Georgia"/>
                <w:b/>
                <w:sz w:val="22"/>
                <w:lang w:val="el-GR"/>
              </w:rPr>
            </w:pPr>
          </w:p>
        </w:tc>
      </w:tr>
      <w:tr w:rsidR="00803C9C" w:rsidRPr="006A542B">
        <w:trPr>
          <w:trHeight w:val="656"/>
        </w:trPr>
        <w:tc>
          <w:tcPr>
            <w:tcW w:w="1165" w:type="dxa"/>
          </w:tcPr>
          <w:p w:rsidR="00803C9C" w:rsidRDefault="004D1A5D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ΘΕΜΑ:</w:t>
            </w:r>
          </w:p>
          <w:p w:rsidR="00803C9C" w:rsidRDefault="00803C9C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</w:p>
          <w:p w:rsidR="00803C9C" w:rsidRDefault="00803C9C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</w:p>
        </w:tc>
        <w:tc>
          <w:tcPr>
            <w:tcW w:w="8818" w:type="dxa"/>
          </w:tcPr>
          <w:p w:rsidR="00803C9C" w:rsidRDefault="004D1A5D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bookmarkStart w:id="0" w:name="_GoBack"/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Ελληνικές Εξαγωγές Ιανουαρίου-Αυγούστου 2023</w:t>
            </w:r>
            <w:bookmarkEnd w:id="0"/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, στην 10η θέση των </w:t>
            </w:r>
            <w:proofErr w:type="spellStart"/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κυριοτέρων</w:t>
            </w:r>
            <w:proofErr w:type="spellEnd"/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εξαγωγικών προορισμών η Ρουμανία και στην 7η θέση μεταξύ των χωρών κ-μ ΕΕ. </w:t>
            </w:r>
          </w:p>
        </w:tc>
      </w:tr>
    </w:tbl>
    <w:p w:rsidR="00803C9C" w:rsidRDefault="00803C9C">
      <w:pPr>
        <w:tabs>
          <w:tab w:val="left" w:pos="975"/>
        </w:tabs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p w:rsidR="00803C9C" w:rsidRDefault="004D1A5D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sz w:val="22"/>
          <w:szCs w:val="22"/>
          <w:lang w:val="el-GR"/>
        </w:rPr>
        <w:t xml:space="preserve">  Σύμφωνα με 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τα ανακοινωθέντα στοιχεία από την ΕΛ.ΣΤΑΤ. και μετά από επεξεργασία του </w:t>
      </w:r>
      <w:r>
        <w:rPr>
          <w:rFonts w:ascii="Georgia" w:hAnsi="Georgia"/>
          <w:color w:val="000000"/>
          <w:sz w:val="22"/>
          <w:szCs w:val="22"/>
          <w:lang w:val="el-GR"/>
        </w:rPr>
        <w:t>Κέντρου Εξαγωγικών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Ερευνών και Μελετών του ΠΣΕ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, στοιχεία τα οποία αφορούν στην περίοδο Ιανουαρίου-Αυγούστου </w:t>
      </w:r>
      <w:proofErr w:type="spellStart"/>
      <w:r>
        <w:rPr>
          <w:rFonts w:ascii="Georgia" w:hAnsi="Georgia"/>
          <w:color w:val="000000"/>
          <w:sz w:val="22"/>
          <w:szCs w:val="22"/>
          <w:lang w:val="el-GR"/>
        </w:rPr>
        <w:t>τ.έ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 xml:space="preserve">., η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>συνολική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αξία των ελληνικών εξαγωγών ανήλθε στο ποσό των  33,4 δισ. ευρώ (έναντι 35,5 δισ. ευρώ την αντίστοιχη περίοδο του 2022), παρουσιάζοντας μείωση κατά 5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,9% (λόγω της υποχώρησης των εξαγωγών </w:t>
      </w:r>
      <w:proofErr w:type="spellStart"/>
      <w:r>
        <w:rPr>
          <w:rFonts w:ascii="Georgia" w:hAnsi="Georgia"/>
          <w:color w:val="000000"/>
          <w:sz w:val="22"/>
          <w:szCs w:val="22"/>
          <w:lang w:val="el-GR"/>
        </w:rPr>
        <w:t>πετρελαιοδειδών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>). Παράλληλα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 xml:space="preserve"> η συνολική αξία των ελληνικών εξαγωγών προς τις χώρες κ-μ ΕΕ</w:t>
      </w:r>
      <w:r>
        <w:rPr>
          <w:rFonts w:ascii="Georgia" w:hAnsi="Georgia"/>
          <w:color w:val="000000"/>
          <w:sz w:val="22"/>
          <w:szCs w:val="22"/>
          <w:lang w:val="el-GR"/>
        </w:rPr>
        <w:t>, ανήλθε στο ποσό των 19,2 δισ. ευρώ (έναντι 19,3 δισ. ευρώ την αντίστοιχη περίοδο του 2022), παρουσιάζοντας μείωση κατά 0,5%, ενώ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παράλληλα οι εξαγωγές προς κ-μ ΕΕ αντιπροσωπεύουν το 57,4% των ελληνικών εξαγωγών (54,3% την αντίστοιχη περίοδο του 2022).</w:t>
      </w:r>
    </w:p>
    <w:p w:rsidR="00803C9C" w:rsidRDefault="004D1A5D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 xml:space="preserve">  </w:t>
      </w:r>
    </w:p>
    <w:p w:rsidR="00803C9C" w:rsidRDefault="004D1A5D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 xml:space="preserve"> Σύμφωνα με τα παραπάνω στοιχεία και όσον αφορά στις εξαγωγές προς την Ρουμανία, έφθασαν στα 1.1160,8 </w:t>
      </w:r>
      <w:proofErr w:type="spellStart"/>
      <w:r>
        <w:rPr>
          <w:rFonts w:ascii="Georgia" w:hAnsi="Georgia"/>
          <w:color w:val="000000"/>
          <w:sz w:val="22"/>
          <w:szCs w:val="22"/>
          <w:lang w:val="el-GR"/>
        </w:rPr>
        <w:t>εκ.Ευρώ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 xml:space="preserve"> σημειώνοντας μικρή 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πτώση κατά 1,4% σε σχέση  με  την αντίστοιχη περίοδο του </w:t>
      </w:r>
      <w:r>
        <w:rPr>
          <w:rFonts w:ascii="Georgia" w:hAnsi="Georgia"/>
          <w:color w:val="000000"/>
          <w:sz w:val="22"/>
          <w:szCs w:val="22"/>
          <w:lang w:val="el-GR"/>
        </w:rPr>
        <w:lastRenderedPageBreak/>
        <w:t xml:space="preserve">2022, ενώ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 xml:space="preserve">η Ρουμανία βρίσκεται στην </w:t>
      </w:r>
      <w:r>
        <w:rPr>
          <w:rFonts w:ascii="Georgia" w:hAnsi="Georgia"/>
          <w:b/>
          <w:color w:val="000000"/>
          <w:sz w:val="22"/>
          <w:szCs w:val="22"/>
          <w:lang w:val="el-GR"/>
        </w:rPr>
        <w:t xml:space="preserve">10η θέση των </w:t>
      </w:r>
      <w:proofErr w:type="spellStart"/>
      <w:r>
        <w:rPr>
          <w:rFonts w:ascii="Georgia" w:hAnsi="Georgia"/>
          <w:b/>
          <w:color w:val="000000"/>
          <w:sz w:val="22"/>
          <w:szCs w:val="22"/>
          <w:lang w:val="el-GR"/>
        </w:rPr>
        <w:t>κυριοτέρων</w:t>
      </w:r>
      <w:proofErr w:type="spellEnd"/>
      <w:r>
        <w:rPr>
          <w:rFonts w:ascii="Georgia" w:hAnsi="Georgia"/>
          <w:b/>
          <w:color w:val="000000"/>
          <w:sz w:val="22"/>
          <w:szCs w:val="22"/>
          <w:lang w:val="el-GR"/>
        </w:rPr>
        <w:t xml:space="preserve"> εξαγωγικών προορισμών και στην 7η θέση μεταξύ των χωρών κ-μ ΕΕ. </w:t>
      </w:r>
    </w:p>
    <w:p w:rsidR="00803C9C" w:rsidRDefault="00803C9C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803C9C" w:rsidRDefault="004D1A5D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 xml:space="preserve">Αναλυτικότερα : </w:t>
      </w:r>
    </w:p>
    <w:tbl>
      <w:tblPr>
        <w:tblW w:w="7375" w:type="dxa"/>
        <w:tblInd w:w="108" w:type="dxa"/>
        <w:tblLook w:val="04A0" w:firstRow="1" w:lastRow="0" w:firstColumn="1" w:lastColumn="0" w:noHBand="0" w:noVBand="1"/>
      </w:tblPr>
      <w:tblGrid>
        <w:gridCol w:w="547"/>
        <w:gridCol w:w="2509"/>
        <w:gridCol w:w="1349"/>
        <w:gridCol w:w="1267"/>
        <w:gridCol w:w="1703"/>
      </w:tblGrid>
      <w:tr w:rsidR="00803C9C">
        <w:trPr>
          <w:trHeight w:val="402"/>
        </w:trPr>
        <w:tc>
          <w:tcPr>
            <w:tcW w:w="3056" w:type="dxa"/>
            <w:gridSpan w:val="2"/>
            <w:vMerge w:val="restart"/>
            <w:tcBorders>
              <w:top w:val="single" w:sz="8" w:space="0" w:color="333399"/>
              <w:left w:val="single" w:sz="8" w:space="0" w:color="333399"/>
              <w:bottom w:val="single" w:sz="8" w:space="0" w:color="A5A5A5"/>
              <w:right w:val="single" w:sz="8" w:space="0" w:color="333399"/>
            </w:tcBorders>
            <w:shd w:val="clear" w:color="99CCFF" w:fill="C0C0C0"/>
            <w:vAlign w:val="center"/>
          </w:tcPr>
          <w:p w:rsidR="00803C9C" w:rsidRPr="006A542B" w:rsidRDefault="004D1A5D">
            <w:pPr>
              <w:jc w:val="center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  <w:lang w:val="el-GR"/>
              </w:rPr>
              <w:t xml:space="preserve">ΧΩΡΕΣ                          (Αξία σε </w:t>
            </w:r>
            <w:proofErr w:type="spellStart"/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  <w:lang w:val="el-GR"/>
              </w:rPr>
              <w:t>εκ.Ευρώ</w:t>
            </w:r>
            <w:proofErr w:type="spellEnd"/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  <w:lang w:val="el-GR"/>
              </w:rPr>
              <w:t>)</w:t>
            </w:r>
          </w:p>
        </w:tc>
        <w:tc>
          <w:tcPr>
            <w:tcW w:w="2616" w:type="dxa"/>
            <w:gridSpan w:val="2"/>
            <w:tcBorders>
              <w:top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99CCFF" w:fill="C0C0C0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Ε ξ α γ</w:t>
            </w: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 xml:space="preserve"> ω γ έ ς</w:t>
            </w:r>
          </w:p>
        </w:tc>
        <w:tc>
          <w:tcPr>
            <w:tcW w:w="1703" w:type="dxa"/>
            <w:tcBorders>
              <w:top w:val="single" w:sz="8" w:space="0" w:color="333399"/>
              <w:bottom w:val="single" w:sz="8" w:space="0" w:color="A5A5A5"/>
              <w:right w:val="single" w:sz="8" w:space="0" w:color="333399"/>
            </w:tcBorders>
            <w:shd w:val="clear" w:color="99CCFF" w:fill="C0C0C0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 xml:space="preserve">% </w:t>
            </w:r>
            <w:proofErr w:type="spellStart"/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Μετ</w:t>
            </w:r>
            <w:proofErr w:type="spellEnd"/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αβολή</w:t>
            </w:r>
          </w:p>
        </w:tc>
      </w:tr>
      <w:tr w:rsidR="00803C9C">
        <w:trPr>
          <w:trHeight w:val="870"/>
        </w:trPr>
        <w:tc>
          <w:tcPr>
            <w:tcW w:w="3056" w:type="dxa"/>
            <w:gridSpan w:val="2"/>
            <w:vMerge/>
            <w:tcBorders>
              <w:top w:val="single" w:sz="8" w:space="0" w:color="333399"/>
              <w:left w:val="single" w:sz="8" w:space="0" w:color="333399"/>
              <w:bottom w:val="single" w:sz="8" w:space="0" w:color="A5A5A5"/>
              <w:right w:val="single" w:sz="8" w:space="0" w:color="333399"/>
            </w:tcBorders>
            <w:vAlign w:val="center"/>
          </w:tcPr>
          <w:p w:rsidR="00803C9C" w:rsidRDefault="00803C9C">
            <w:pPr>
              <w:rPr>
                <w:rFonts w:ascii="Georgia" w:hAnsi="Georgia"/>
                <w:b/>
                <w:bCs/>
                <w:i/>
                <w:iCs/>
                <w:sz w:val="22"/>
              </w:rPr>
            </w:pPr>
          </w:p>
        </w:tc>
        <w:tc>
          <w:tcPr>
            <w:tcW w:w="1349" w:type="dxa"/>
            <w:tcBorders>
              <w:right w:val="single" w:sz="8" w:space="0" w:color="A5A5A5"/>
            </w:tcBorders>
            <w:shd w:val="clear" w:color="99CCFF" w:fill="C0C0C0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Ιαν.-</w:t>
            </w:r>
            <w:proofErr w:type="spellStart"/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Αυγ</w:t>
            </w:r>
            <w:proofErr w:type="spellEnd"/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. 2023</w:t>
            </w:r>
          </w:p>
        </w:tc>
        <w:tc>
          <w:tcPr>
            <w:tcW w:w="1267" w:type="dxa"/>
            <w:tcBorders>
              <w:right w:val="single" w:sz="8" w:space="0" w:color="A5A5A5"/>
            </w:tcBorders>
            <w:shd w:val="clear" w:color="99CCFF" w:fill="C0C0C0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Ιαν.-</w:t>
            </w:r>
            <w:proofErr w:type="spellStart"/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Αυγ</w:t>
            </w:r>
            <w:proofErr w:type="spellEnd"/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. 2022</w:t>
            </w:r>
          </w:p>
        </w:tc>
        <w:tc>
          <w:tcPr>
            <w:tcW w:w="1703" w:type="dxa"/>
            <w:tcBorders>
              <w:right w:val="single" w:sz="8" w:space="0" w:color="333399"/>
            </w:tcBorders>
            <w:shd w:val="clear" w:color="99CCFF" w:fill="C0C0C0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23/22</w:t>
            </w:r>
          </w:p>
        </w:tc>
      </w:tr>
      <w:tr w:rsidR="00803C9C">
        <w:trPr>
          <w:trHeight w:val="499"/>
        </w:trPr>
        <w:tc>
          <w:tcPr>
            <w:tcW w:w="3056" w:type="dxa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CCFFCC" w:fill="E3E3E3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Σ Υ Ν Ο Λ Ο</w:t>
            </w:r>
          </w:p>
        </w:tc>
        <w:tc>
          <w:tcPr>
            <w:tcW w:w="1349" w:type="dxa"/>
            <w:tcBorders>
              <w:top w:val="single" w:sz="8" w:space="0" w:color="333399"/>
              <w:bottom w:val="single" w:sz="8" w:space="0" w:color="333399"/>
              <w:right w:val="single" w:sz="8" w:space="0" w:color="A5A5A5"/>
            </w:tcBorders>
            <w:shd w:val="clear" w:color="CCFFCC" w:fill="E3E3E3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33.393,7</w:t>
            </w:r>
          </w:p>
        </w:tc>
        <w:tc>
          <w:tcPr>
            <w:tcW w:w="1267" w:type="dxa"/>
            <w:tcBorders>
              <w:top w:val="single" w:sz="8" w:space="0" w:color="333399"/>
              <w:bottom w:val="single" w:sz="8" w:space="0" w:color="333399"/>
              <w:right w:val="single" w:sz="8" w:space="0" w:color="A5A5A5"/>
            </w:tcBorders>
            <w:shd w:val="clear" w:color="CCFFCC" w:fill="E3E3E3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35.482,6</w:t>
            </w:r>
          </w:p>
        </w:tc>
        <w:tc>
          <w:tcPr>
            <w:tcW w:w="1703" w:type="dxa"/>
            <w:tcBorders>
              <w:top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CCFFCC" w:fill="E3E3E3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-5,9%</w:t>
            </w:r>
          </w:p>
        </w:tc>
      </w:tr>
      <w:tr w:rsidR="00803C9C">
        <w:trPr>
          <w:trHeight w:val="495"/>
        </w:trPr>
        <w:tc>
          <w:tcPr>
            <w:tcW w:w="3056" w:type="dxa"/>
            <w:gridSpan w:val="2"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CCFFCC" w:fill="E3E3E3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Ε.Ε. (27)</w:t>
            </w:r>
          </w:p>
        </w:tc>
        <w:tc>
          <w:tcPr>
            <w:tcW w:w="1349" w:type="dxa"/>
            <w:tcBorders>
              <w:bottom w:val="single" w:sz="8" w:space="0" w:color="333399"/>
              <w:right w:val="single" w:sz="8" w:space="0" w:color="A5A5A5"/>
            </w:tcBorders>
            <w:shd w:val="clear" w:color="CCFFCC" w:fill="E3E3E3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19.167,7</w:t>
            </w:r>
          </w:p>
        </w:tc>
        <w:tc>
          <w:tcPr>
            <w:tcW w:w="1267" w:type="dxa"/>
            <w:tcBorders>
              <w:bottom w:val="single" w:sz="8" w:space="0" w:color="333399"/>
              <w:right w:val="single" w:sz="8" w:space="0" w:color="A5A5A5"/>
            </w:tcBorders>
            <w:shd w:val="clear" w:color="CCFFCC" w:fill="E3E3E3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19.273,4</w:t>
            </w:r>
          </w:p>
        </w:tc>
        <w:tc>
          <w:tcPr>
            <w:tcW w:w="1703" w:type="dxa"/>
            <w:tcBorders>
              <w:bottom w:val="single" w:sz="8" w:space="0" w:color="333399"/>
              <w:right w:val="single" w:sz="8" w:space="0" w:color="333399"/>
            </w:tcBorders>
            <w:shd w:val="clear" w:color="CCFFCC" w:fill="E3E3E3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-0,5%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Ιτ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αλία</w:t>
            </w:r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3.819,9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3.658,8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4,4%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Βουλγ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αρία</w:t>
            </w:r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2.347,2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2.407,5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-2,5%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Γερμ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ανία</w:t>
            </w:r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2.333,3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2.336,5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-0,1%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Κύ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προς</w:t>
            </w:r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2.001,5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1.964,6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1,9%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5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Ισ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πανία</w:t>
            </w:r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1.391,6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1.381,8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0,7%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6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ΗΠΑ</w:t>
            </w:r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1.326,9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1.502,9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-11,7%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7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Γα</w:t>
            </w: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λλί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1.298,6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1.076,7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20,6%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8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Τουρκί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1.296,8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1.499,0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-13,5%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9</w:t>
            </w:r>
          </w:p>
        </w:tc>
        <w:tc>
          <w:tcPr>
            <w:tcW w:w="2509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Ην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. Βα</w:t>
            </w: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σίλειο</w:t>
            </w:r>
            <w:proofErr w:type="spellEnd"/>
          </w:p>
        </w:tc>
        <w:tc>
          <w:tcPr>
            <w:tcW w:w="1349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1.268,6</w:t>
            </w:r>
          </w:p>
        </w:tc>
        <w:tc>
          <w:tcPr>
            <w:tcW w:w="1267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1.480,1</w:t>
            </w:r>
          </w:p>
        </w:tc>
        <w:tc>
          <w:tcPr>
            <w:tcW w:w="1703" w:type="dxa"/>
            <w:tcBorders>
              <w:bottom w:val="single" w:sz="8" w:space="0" w:color="A5A5A5"/>
              <w:right w:val="single" w:sz="8" w:space="0" w:color="333399"/>
            </w:tcBorders>
            <w:shd w:val="clear" w:color="auto" w:fill="auto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-14,3%</w:t>
            </w:r>
          </w:p>
        </w:tc>
      </w:tr>
      <w:tr w:rsidR="00803C9C">
        <w:trPr>
          <w:trHeight w:val="315"/>
        </w:trPr>
        <w:tc>
          <w:tcPr>
            <w:tcW w:w="547" w:type="dxa"/>
            <w:tcBorders>
              <w:left w:val="single" w:sz="8" w:space="0" w:color="333399"/>
              <w:bottom w:val="single" w:sz="8" w:space="0" w:color="333399"/>
              <w:right w:val="single" w:sz="8" w:space="0" w:color="A5A5A5"/>
            </w:tcBorders>
            <w:shd w:val="clear" w:color="000000" w:fill="D8D8D8"/>
            <w:vAlign w:val="center"/>
          </w:tcPr>
          <w:p w:rsidR="00803C9C" w:rsidRDefault="004D1A5D">
            <w:pPr>
              <w:jc w:val="right"/>
              <w:rPr>
                <w:rFonts w:ascii="Georgia" w:hAnsi="Georgia"/>
                <w:b/>
                <w:bCs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09" w:type="dxa"/>
            <w:tcBorders>
              <w:bottom w:val="single" w:sz="8" w:space="0" w:color="333399"/>
              <w:right w:val="single" w:sz="8" w:space="0" w:color="333399"/>
            </w:tcBorders>
            <w:shd w:val="clear" w:color="000000" w:fill="D8D8D8"/>
            <w:vAlign w:val="center"/>
          </w:tcPr>
          <w:p w:rsidR="00803C9C" w:rsidRDefault="004D1A5D">
            <w:pPr>
              <w:ind w:firstLine="482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Ρουμ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ανία</w:t>
            </w:r>
          </w:p>
        </w:tc>
        <w:tc>
          <w:tcPr>
            <w:tcW w:w="1349" w:type="dxa"/>
            <w:tcBorders>
              <w:bottom w:val="single" w:sz="8" w:space="0" w:color="333399"/>
              <w:right w:val="single" w:sz="8" w:space="0" w:color="A5A5A5"/>
            </w:tcBorders>
            <w:shd w:val="clear" w:color="000000" w:fill="D8D8D8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1.160,8</w:t>
            </w:r>
          </w:p>
        </w:tc>
        <w:tc>
          <w:tcPr>
            <w:tcW w:w="1267" w:type="dxa"/>
            <w:tcBorders>
              <w:bottom w:val="single" w:sz="8" w:space="0" w:color="333399"/>
              <w:right w:val="single" w:sz="8" w:space="0" w:color="A5A5A5"/>
            </w:tcBorders>
            <w:shd w:val="clear" w:color="000000" w:fill="D8D8D8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1176,7</w:t>
            </w:r>
          </w:p>
        </w:tc>
        <w:tc>
          <w:tcPr>
            <w:tcW w:w="1703" w:type="dxa"/>
            <w:tcBorders>
              <w:bottom w:val="single" w:sz="8" w:space="0" w:color="333399"/>
              <w:right w:val="single" w:sz="8" w:space="0" w:color="333399"/>
            </w:tcBorders>
            <w:shd w:val="clear" w:color="000000" w:fill="D8D8D8"/>
            <w:vAlign w:val="center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-1,4%</w:t>
            </w:r>
          </w:p>
        </w:tc>
      </w:tr>
    </w:tbl>
    <w:p w:rsidR="00803C9C" w:rsidRPr="006A542B" w:rsidRDefault="004D1A5D">
      <w:pPr>
        <w:tabs>
          <w:tab w:val="left" w:pos="975"/>
        </w:tabs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b/>
          <w:bCs/>
          <w:i/>
          <w:iCs/>
          <w:sz w:val="22"/>
          <w:szCs w:val="22"/>
          <w:u w:val="single"/>
          <w:lang w:val="el-GR"/>
        </w:rPr>
        <w:t>Πηγή</w:t>
      </w:r>
      <w:r>
        <w:rPr>
          <w:rFonts w:ascii="Georgia" w:hAnsi="Georgia"/>
          <w:b/>
          <w:bCs/>
          <w:i/>
          <w:iCs/>
          <w:sz w:val="22"/>
          <w:szCs w:val="22"/>
          <w:lang w:val="el-GR"/>
        </w:rPr>
        <w:t>:</w:t>
      </w:r>
      <w:r>
        <w:rPr>
          <w:rFonts w:ascii="Georgia" w:hAnsi="Georgia"/>
          <w:sz w:val="22"/>
          <w:szCs w:val="22"/>
          <w:lang w:val="el-GR"/>
        </w:rPr>
        <w:t xml:space="preserve"> Επεξεργασία στοιχείων ΕΛ.ΣΤΑΤ. από το ΚΕΕΜ. (Τα στοιχεία και για τα δύο έτη είναι προσωρινά)</w:t>
      </w:r>
    </w:p>
    <w:p w:rsidR="00803C9C" w:rsidRDefault="00803C9C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803C9C" w:rsidRPr="006A542B" w:rsidRDefault="004D1A5D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 w:rsidRPr="006A542B">
        <w:rPr>
          <w:rFonts w:ascii="Georgia" w:hAnsi="Georgia"/>
          <w:sz w:val="22"/>
          <w:szCs w:val="22"/>
          <w:lang w:val="el-GR"/>
        </w:rPr>
        <w:t xml:space="preserve"> Σημειώνουμε ότι όσον αφορά στις ετήσιες εξαγωγές προς Ρουμανία, </w:t>
      </w:r>
      <w:r w:rsidRPr="006A542B">
        <w:rPr>
          <w:rFonts w:ascii="Georgia" w:hAnsi="Georgia"/>
          <w:sz w:val="22"/>
          <w:szCs w:val="22"/>
          <w:lang w:val="el-GR"/>
        </w:rPr>
        <w:t xml:space="preserve">από την ανάλυση των στατιστικών </w:t>
      </w:r>
      <w:proofErr w:type="spellStart"/>
      <w:r w:rsidRPr="006A542B">
        <w:rPr>
          <w:rFonts w:ascii="Georgia" w:hAnsi="Georgia"/>
          <w:sz w:val="22"/>
          <w:szCs w:val="22"/>
          <w:lang w:val="el-GR"/>
        </w:rPr>
        <w:t>χρονοσειρών</w:t>
      </w:r>
      <w:proofErr w:type="spellEnd"/>
      <w:r w:rsidRPr="006A542B">
        <w:rPr>
          <w:rFonts w:ascii="Georgia" w:hAnsi="Georgia"/>
          <w:sz w:val="22"/>
          <w:szCs w:val="22"/>
          <w:lang w:val="el-GR"/>
        </w:rPr>
        <w:t xml:space="preserve"> της δεκαετίας 2012-2022, προκύπτει ότι βαίνουν συνεχ</w:t>
      </w:r>
      <w:r w:rsidRPr="006A542B">
        <w:rPr>
          <w:rFonts w:ascii="Georgia" w:hAnsi="Georgia"/>
          <w:sz w:val="22"/>
          <w:szCs w:val="22"/>
          <w:lang w:val="el-GR"/>
        </w:rPr>
        <w:t xml:space="preserve">ώς αυξανόμενες καθώς, το 2012 είχαν ανέλθει στα 590,9 </w:t>
      </w:r>
      <w:proofErr w:type="spellStart"/>
      <w:r w:rsidRPr="006A542B">
        <w:rPr>
          <w:rFonts w:ascii="Georgia" w:hAnsi="Georgia"/>
          <w:sz w:val="22"/>
          <w:szCs w:val="22"/>
          <w:lang w:val="el-GR"/>
        </w:rPr>
        <w:t>εκ.Ευρώ</w:t>
      </w:r>
      <w:proofErr w:type="spellEnd"/>
      <w:r w:rsidRPr="006A542B">
        <w:rPr>
          <w:rFonts w:ascii="Georgia" w:hAnsi="Georgia"/>
          <w:sz w:val="22"/>
          <w:szCs w:val="22"/>
          <w:lang w:val="el-GR"/>
        </w:rPr>
        <w:t xml:space="preserve">, το 2019 υπερέβησαν για πρώτη φορά το φράγμα του 1 </w:t>
      </w:r>
      <w:proofErr w:type="spellStart"/>
      <w:r w:rsidRPr="006A542B">
        <w:rPr>
          <w:rFonts w:ascii="Georgia" w:hAnsi="Georgia"/>
          <w:sz w:val="22"/>
          <w:szCs w:val="22"/>
          <w:lang w:val="el-GR"/>
        </w:rPr>
        <w:t>δισ.Ευρώ</w:t>
      </w:r>
      <w:proofErr w:type="spellEnd"/>
      <w:r w:rsidRPr="006A542B">
        <w:rPr>
          <w:rFonts w:ascii="Georgia" w:hAnsi="Georgia"/>
          <w:sz w:val="22"/>
          <w:szCs w:val="22"/>
          <w:lang w:val="el-GR"/>
        </w:rPr>
        <w:t xml:space="preserve">, από το 2020 και εντεύθεν η άνοδος είναι αλματώδης (2021/2020 +265,4 </w:t>
      </w:r>
      <w:proofErr w:type="spellStart"/>
      <w:r w:rsidRPr="006A542B">
        <w:rPr>
          <w:rFonts w:ascii="Georgia" w:hAnsi="Georgia"/>
          <w:sz w:val="22"/>
          <w:szCs w:val="22"/>
          <w:lang w:val="el-GR"/>
        </w:rPr>
        <w:t>εκ.Ευρώ</w:t>
      </w:r>
      <w:proofErr w:type="spellEnd"/>
      <w:r w:rsidRPr="006A542B">
        <w:rPr>
          <w:rFonts w:ascii="Georgia" w:hAnsi="Georgia"/>
          <w:sz w:val="22"/>
          <w:szCs w:val="22"/>
          <w:lang w:val="el-GR"/>
        </w:rPr>
        <w:t xml:space="preserve">, 2022/2021 +433,6 </w:t>
      </w:r>
      <w:proofErr w:type="spellStart"/>
      <w:r w:rsidRPr="006A542B">
        <w:rPr>
          <w:rFonts w:ascii="Georgia" w:hAnsi="Georgia"/>
          <w:sz w:val="22"/>
          <w:szCs w:val="22"/>
          <w:lang w:val="el-GR"/>
        </w:rPr>
        <w:t>εκ.Ευρώ</w:t>
      </w:r>
      <w:proofErr w:type="spellEnd"/>
      <w:r w:rsidRPr="006A542B">
        <w:rPr>
          <w:rFonts w:ascii="Georgia" w:hAnsi="Georgia"/>
          <w:sz w:val="22"/>
          <w:szCs w:val="22"/>
          <w:lang w:val="el-GR"/>
        </w:rPr>
        <w:t xml:space="preserve">, 2022/2020 +699 </w:t>
      </w:r>
      <w:proofErr w:type="spellStart"/>
      <w:r w:rsidRPr="006A542B">
        <w:rPr>
          <w:rFonts w:ascii="Georgia" w:hAnsi="Georgia"/>
          <w:sz w:val="22"/>
          <w:szCs w:val="22"/>
          <w:lang w:val="el-GR"/>
        </w:rPr>
        <w:t>εκ.Ευρώ</w:t>
      </w:r>
      <w:proofErr w:type="spellEnd"/>
      <w:r w:rsidRPr="006A542B">
        <w:rPr>
          <w:rFonts w:ascii="Georgia" w:hAnsi="Georgia"/>
          <w:sz w:val="22"/>
          <w:szCs w:val="22"/>
          <w:lang w:val="el-GR"/>
        </w:rPr>
        <w:t>), ενώ κ</w:t>
      </w:r>
      <w:r w:rsidRPr="006A542B">
        <w:rPr>
          <w:rFonts w:ascii="Georgia" w:hAnsi="Georgia"/>
          <w:sz w:val="22"/>
          <w:szCs w:val="22"/>
          <w:lang w:val="el-GR"/>
        </w:rPr>
        <w:t>ατά το 2022 έφθασαν στο 1 δισ. 823,4 εκ. Ευρώ. Παράλληλα από το 2020 η Ρουμανία εισήλθε στον κατάλογο των 10 κυριότερων εξαγωγικών προορισμών για τα ελληνικά προϊόντα όπου και παραμένει τόσο για το 2021 όσο και για το 2022. Αναλυτικότερα :</w:t>
      </w:r>
    </w:p>
    <w:p w:rsidR="00803C9C" w:rsidRPr="006A542B" w:rsidRDefault="00803C9C">
      <w:pPr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tbl>
      <w:tblPr>
        <w:tblW w:w="2878" w:type="dxa"/>
        <w:tblInd w:w="-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3"/>
        <w:gridCol w:w="1975"/>
      </w:tblGrid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  <w:r>
              <w:rPr>
                <w:rFonts w:ascii="Georgia" w:hAnsi="Georgia" w:cs="Cambria"/>
                <w:b/>
                <w:bCs/>
                <w:color w:val="000000"/>
                <w:sz w:val="22"/>
                <w:szCs w:val="22"/>
                <w:lang w:val="el-GR"/>
              </w:rPr>
              <w:t>Έτος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Αξί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α </w:t>
            </w: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Εξ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αγωγών </w:t>
            </w:r>
          </w:p>
          <w:p w:rsidR="00803C9C" w:rsidRDefault="004D1A5D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σε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bCs/>
                <w:sz w:val="22"/>
                <w:szCs w:val="22"/>
              </w:rPr>
              <w:t>Ευρώ</w:t>
            </w:r>
            <w:proofErr w:type="spellEnd"/>
            <w:r>
              <w:rPr>
                <w:rFonts w:ascii="Georgia" w:hAnsi="Georgia"/>
                <w:b/>
                <w:bCs/>
                <w:sz w:val="22"/>
                <w:szCs w:val="22"/>
              </w:rPr>
              <w:t>)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2012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590,9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2013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618,1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2014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654,1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2015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729,9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2016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769,1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2017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875,0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2018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969,6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2019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1.044,8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2020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1.124,4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2021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1.389,8</w:t>
            </w:r>
          </w:p>
        </w:tc>
      </w:tr>
      <w:tr w:rsidR="00803C9C">
        <w:trPr>
          <w:trHeight w:val="293"/>
        </w:trPr>
        <w:tc>
          <w:tcPr>
            <w:tcW w:w="903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2022</w:t>
            </w:r>
          </w:p>
        </w:tc>
        <w:tc>
          <w:tcPr>
            <w:tcW w:w="1974" w:type="dxa"/>
            <w:vAlign w:val="bottom"/>
          </w:tcPr>
          <w:p w:rsidR="00803C9C" w:rsidRDefault="004D1A5D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1.823,4</w:t>
            </w:r>
          </w:p>
        </w:tc>
      </w:tr>
    </w:tbl>
    <w:p w:rsidR="00803C9C" w:rsidRDefault="004D1A5D">
      <w:pPr>
        <w:tabs>
          <w:tab w:val="left" w:pos="975"/>
        </w:tabs>
        <w:spacing w:line="276" w:lineRule="auto"/>
        <w:jc w:val="both"/>
        <w:rPr>
          <w:rFonts w:cs="Cambria"/>
          <w:color w:val="000000"/>
          <w:lang w:val="el-GR"/>
        </w:rPr>
      </w:pPr>
      <w:r>
        <w:rPr>
          <w:rFonts w:ascii="Georgia" w:hAnsi="Georgia" w:cs="Cambria"/>
          <w:color w:val="000000"/>
          <w:sz w:val="22"/>
          <w:szCs w:val="22"/>
          <w:lang w:val="el-GR"/>
        </w:rPr>
        <w:lastRenderedPageBreak/>
        <w:t>Πηγή: ΕΛΣΤΑΤ, Επεξεργασία Γραφείο ΟΕΥ</w:t>
      </w:r>
    </w:p>
    <w:p w:rsidR="00803C9C" w:rsidRDefault="00803C9C">
      <w:pPr>
        <w:tabs>
          <w:tab w:val="left" w:pos="975"/>
        </w:tabs>
        <w:spacing w:line="276" w:lineRule="auto"/>
        <w:jc w:val="both"/>
        <w:rPr>
          <w:rFonts w:cs="Cambria"/>
          <w:color w:val="000000"/>
          <w:lang w:val="el-GR"/>
        </w:rPr>
      </w:pPr>
    </w:p>
    <w:p w:rsidR="00803C9C" w:rsidRPr="006A542B" w:rsidRDefault="004D1A5D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 w:rsidRPr="006A542B">
        <w:rPr>
          <w:rFonts w:ascii="Georgia" w:hAnsi="Georgia"/>
          <w:sz w:val="22"/>
          <w:szCs w:val="22"/>
          <w:lang w:val="el-GR"/>
        </w:rPr>
        <w:t xml:space="preserve"> Περαιτέρω και όσον αφορά στις ελληνικές εισαγωγές,</w:t>
      </w:r>
      <w:r w:rsidRPr="006A542B">
        <w:rPr>
          <w:rFonts w:ascii="Georgia" w:hAnsi="Georgia"/>
          <w:sz w:val="22"/>
          <w:szCs w:val="22"/>
          <w:lang w:val="el-GR"/>
        </w:rPr>
        <w:t xml:space="preserve"> η Ρουμανία</w:t>
      </w:r>
      <w:r w:rsidRPr="006A542B">
        <w:rPr>
          <w:rFonts w:ascii="Georgia" w:hAnsi="Georgia"/>
          <w:b/>
          <w:bCs/>
          <w:sz w:val="22"/>
          <w:szCs w:val="22"/>
          <w:lang w:val="el-GR"/>
        </w:rPr>
        <w:t xml:space="preserve"> βρίσκεται στην 19η θέση των </w:t>
      </w:r>
      <w:proofErr w:type="spellStart"/>
      <w:r w:rsidRPr="006A542B">
        <w:rPr>
          <w:rFonts w:ascii="Georgia" w:hAnsi="Georgia"/>
          <w:b/>
          <w:bCs/>
          <w:sz w:val="22"/>
          <w:szCs w:val="22"/>
          <w:lang w:val="el-GR"/>
        </w:rPr>
        <w:t>κυριοτέρων</w:t>
      </w:r>
      <w:proofErr w:type="spellEnd"/>
      <w:r w:rsidRPr="006A542B">
        <w:rPr>
          <w:rFonts w:ascii="Georgia" w:hAnsi="Georgia"/>
          <w:b/>
          <w:bCs/>
          <w:sz w:val="22"/>
          <w:szCs w:val="22"/>
          <w:lang w:val="el-GR"/>
        </w:rPr>
        <w:t xml:space="preserve"> προμηθευτριών χωρών της Ελλάδας, </w:t>
      </w:r>
      <w:r w:rsidRPr="006A542B">
        <w:rPr>
          <w:rFonts w:ascii="Georgia" w:hAnsi="Georgia"/>
          <w:sz w:val="22"/>
          <w:szCs w:val="22"/>
          <w:lang w:val="el-GR"/>
        </w:rPr>
        <w:t xml:space="preserve">με σύνολο αξίας εισαγωγών στα 646,3 </w:t>
      </w:r>
      <w:proofErr w:type="spellStart"/>
      <w:r w:rsidRPr="006A542B">
        <w:rPr>
          <w:rFonts w:ascii="Georgia" w:hAnsi="Georgia"/>
          <w:sz w:val="22"/>
          <w:szCs w:val="22"/>
          <w:lang w:val="el-GR"/>
        </w:rPr>
        <w:t>εκ.Ευρώ</w:t>
      </w:r>
      <w:proofErr w:type="spellEnd"/>
      <w:r w:rsidRPr="006A542B">
        <w:rPr>
          <w:rFonts w:ascii="Georgia" w:hAnsi="Georgia"/>
          <w:sz w:val="22"/>
          <w:szCs w:val="22"/>
          <w:lang w:val="el-GR"/>
        </w:rPr>
        <w:t xml:space="preserve"> 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στην περίοδο Ιανουαρίου-Αυγούστου </w:t>
      </w:r>
      <w:proofErr w:type="spellStart"/>
      <w:r>
        <w:rPr>
          <w:rFonts w:ascii="Georgia" w:hAnsi="Georgia"/>
          <w:color w:val="000000"/>
          <w:sz w:val="22"/>
          <w:szCs w:val="22"/>
          <w:lang w:val="el-GR"/>
        </w:rPr>
        <w:t>τ.έ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 xml:space="preserve">. (638,6 </w:t>
      </w:r>
      <w:proofErr w:type="spellStart"/>
      <w:r>
        <w:rPr>
          <w:rFonts w:ascii="Georgia" w:hAnsi="Georgia"/>
          <w:color w:val="000000"/>
          <w:sz w:val="22"/>
          <w:szCs w:val="22"/>
          <w:lang w:val="el-GR"/>
        </w:rPr>
        <w:t>εκ.Ευρώ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 xml:space="preserve"> την αντίστοιχη περίοδο του 2022, +1,2% αύξηση), με αποτέλεσμα το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 xml:space="preserve">ύψος του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 xml:space="preserve">διμερούς εμπορικού ισοζυγίου να ανέλθει στα 1.804,1 </w:t>
      </w:r>
      <w:proofErr w:type="spellStart"/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>εκ.Ευρώ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 xml:space="preserve"> έναντι 1.815,3 </w:t>
      </w:r>
      <w:proofErr w:type="spellStart"/>
      <w:r>
        <w:rPr>
          <w:rFonts w:ascii="Georgia" w:hAnsi="Georgia"/>
          <w:color w:val="000000"/>
          <w:sz w:val="22"/>
          <w:szCs w:val="22"/>
          <w:lang w:val="el-GR"/>
        </w:rPr>
        <w:t>εκ.Ευρώ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 xml:space="preserve"> την αντίστοιχη περίοδο του 2022, σημειώνοντας ελαφρά μείωση κατά 0,6%.</w:t>
      </w:r>
    </w:p>
    <w:p w:rsidR="00803C9C" w:rsidRDefault="00803C9C">
      <w:pPr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803C9C" w:rsidRDefault="00803C9C">
      <w:pPr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tbl>
      <w:tblPr>
        <w:tblW w:w="3600" w:type="dxa"/>
        <w:tblInd w:w="5509" w:type="dxa"/>
        <w:tblLook w:val="01E0" w:firstRow="1" w:lastRow="1" w:firstColumn="1" w:lastColumn="1" w:noHBand="0" w:noVBand="0"/>
      </w:tblPr>
      <w:tblGrid>
        <w:gridCol w:w="3600"/>
      </w:tblGrid>
      <w:tr w:rsidR="00803C9C">
        <w:tc>
          <w:tcPr>
            <w:tcW w:w="3600" w:type="dxa"/>
          </w:tcPr>
          <w:p w:rsidR="00803C9C" w:rsidRDefault="004D1A5D">
            <w:pPr>
              <w:spacing w:line="276" w:lineRule="auto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Ο Δ/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νων</w:t>
            </w:r>
            <w:proofErr w:type="spellEnd"/>
          </w:p>
          <w:p w:rsidR="00803C9C" w:rsidRDefault="00803C9C">
            <w:pPr>
              <w:spacing w:line="276" w:lineRule="auto"/>
              <w:rPr>
                <w:rFonts w:ascii="Georgia" w:hAnsi="Georgia"/>
                <w:sz w:val="22"/>
                <w:lang w:val="el-GR"/>
              </w:rPr>
            </w:pPr>
          </w:p>
        </w:tc>
      </w:tr>
      <w:tr w:rsidR="00803C9C">
        <w:tc>
          <w:tcPr>
            <w:tcW w:w="3600" w:type="dxa"/>
          </w:tcPr>
          <w:p w:rsidR="00803C9C" w:rsidRDefault="004D1A5D">
            <w:pPr>
              <w:spacing w:line="276" w:lineRule="auto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Παντελής Γιαννούλης</w:t>
            </w:r>
          </w:p>
        </w:tc>
      </w:tr>
      <w:tr w:rsidR="00803C9C">
        <w:tc>
          <w:tcPr>
            <w:tcW w:w="3600" w:type="dxa"/>
          </w:tcPr>
          <w:p w:rsidR="00803C9C" w:rsidRDefault="004D1A5D">
            <w:pPr>
              <w:spacing w:line="276" w:lineRule="auto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Σύμβουλος ΟΕΥ Α΄</w:t>
            </w:r>
          </w:p>
        </w:tc>
      </w:tr>
    </w:tbl>
    <w:p w:rsidR="00803C9C" w:rsidRDefault="00803C9C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03C9C" w:rsidRDefault="00803C9C">
      <w:pPr>
        <w:tabs>
          <w:tab w:val="left" w:pos="975"/>
        </w:tabs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p w:rsidR="00803C9C" w:rsidRDefault="00803C9C">
      <w:pPr>
        <w:tabs>
          <w:tab w:val="left" w:pos="975"/>
        </w:tabs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p w:rsidR="00803C9C" w:rsidRDefault="00803C9C">
      <w:pPr>
        <w:tabs>
          <w:tab w:val="left" w:pos="975"/>
        </w:tabs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sectPr w:rsidR="00803C9C">
      <w:footerReference w:type="default" r:id="rId8"/>
      <w:pgSz w:w="11906" w:h="16838"/>
      <w:pgMar w:top="540" w:right="1093" w:bottom="1080" w:left="875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5D" w:rsidRDefault="004D1A5D">
      <w:r>
        <w:separator/>
      </w:r>
    </w:p>
  </w:endnote>
  <w:endnote w:type="continuationSeparator" w:id="0">
    <w:p w:rsidR="004D1A5D" w:rsidRDefault="004D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9C" w:rsidRDefault="00803C9C">
    <w:pPr>
      <w:pStyle w:val="a5"/>
      <w:rPr>
        <w:color w:val="A6A6A6" w:themeColor="background1" w:themeShade="A6"/>
      </w:rPr>
    </w:pPr>
  </w:p>
  <w:p w:rsidR="00803C9C" w:rsidRDefault="004D1A5D">
    <w:pPr>
      <w:pStyle w:val="a5"/>
      <w:jc w:val="center"/>
      <w:rPr>
        <w:i/>
        <w:color w:val="A6A6A6" w:themeColor="background1" w:themeShade="A6"/>
        <w:sz w:val="20"/>
        <w:szCs w:val="20"/>
      </w:rPr>
    </w:pPr>
    <w:proofErr w:type="spellStart"/>
    <w:r>
      <w:rPr>
        <w:i/>
        <w:color w:val="A6A6A6" w:themeColor="background1" w:themeShade="A6"/>
        <w:sz w:val="20"/>
        <w:szCs w:val="20"/>
      </w:rPr>
      <w:t>PacheProtopopescu</w:t>
    </w:r>
    <w:proofErr w:type="spellEnd"/>
    <w:r>
      <w:rPr>
        <w:i/>
        <w:color w:val="A6A6A6" w:themeColor="background1" w:themeShade="A6"/>
        <w:sz w:val="20"/>
        <w:szCs w:val="20"/>
      </w:rPr>
      <w:t xml:space="preserve"> 1-3, Sector 2, Bucharest</w:t>
    </w:r>
  </w:p>
  <w:p w:rsidR="00803C9C" w:rsidRDefault="004D1A5D">
    <w:pPr>
      <w:pStyle w:val="a5"/>
      <w:jc w:val="center"/>
      <w:rPr>
        <w:i/>
        <w:color w:val="A6A6A6" w:themeColor="background1" w:themeShade="A6"/>
        <w:sz w:val="20"/>
        <w:szCs w:val="20"/>
        <w:lang w:val="it-IT"/>
      </w:rPr>
    </w:pPr>
    <w:proofErr w:type="spellStart"/>
    <w:r>
      <w:rPr>
        <w:i/>
        <w:color w:val="A6A6A6" w:themeColor="background1" w:themeShade="A6"/>
        <w:sz w:val="20"/>
        <w:szCs w:val="20"/>
        <w:lang w:val="el-GR"/>
      </w:rPr>
      <w:t>Τηλ</w:t>
    </w:r>
    <w:proofErr w:type="spellEnd"/>
    <w:r>
      <w:rPr>
        <w:i/>
        <w:color w:val="A6A6A6" w:themeColor="background1" w:themeShade="A6"/>
        <w:sz w:val="20"/>
        <w:szCs w:val="20"/>
      </w:rPr>
      <w:t>.</w:t>
    </w:r>
    <w:r>
      <w:rPr>
        <w:i/>
        <w:color w:val="A6A6A6" w:themeColor="background1" w:themeShade="A6"/>
        <w:sz w:val="20"/>
        <w:szCs w:val="20"/>
        <w:lang w:val="it-IT"/>
      </w:rPr>
      <w:t>: +40-21-2100748,2115724, Fax: +40-21-2119893</w:t>
    </w:r>
  </w:p>
  <w:p w:rsidR="00803C9C" w:rsidRDefault="004D1A5D">
    <w:pPr>
      <w:pStyle w:val="a5"/>
      <w:jc w:val="center"/>
      <w:rPr>
        <w:i/>
        <w:color w:val="A6A6A6" w:themeColor="background1" w:themeShade="A6"/>
        <w:sz w:val="20"/>
        <w:szCs w:val="20"/>
        <w:lang w:val="en-GB"/>
      </w:rPr>
    </w:pPr>
    <w:r>
      <w:rPr>
        <w:i/>
        <w:color w:val="A6A6A6" w:themeColor="background1" w:themeShade="A6"/>
        <w:sz w:val="20"/>
        <w:szCs w:val="20"/>
        <w:lang w:val="it-IT"/>
      </w:rPr>
      <w:t xml:space="preserve">e-mail: </w:t>
    </w:r>
    <w:hyperlink r:id="rId1">
      <w:r>
        <w:rPr>
          <w:rStyle w:val="-"/>
          <w:i/>
          <w:color w:val="A6A6A6" w:themeColor="background1" w:themeShade="A6"/>
          <w:sz w:val="20"/>
          <w:szCs w:val="20"/>
          <w:lang w:val="it-IT"/>
        </w:rPr>
        <w:t>ecocom-bucharest@mfa.gr</w:t>
      </w:r>
    </w:hyperlink>
    <w:r>
      <w:rPr>
        <w:i/>
        <w:color w:val="A6A6A6" w:themeColor="background1" w:themeShade="A6"/>
        <w:sz w:val="20"/>
        <w:szCs w:val="20"/>
      </w:rPr>
      <w:t xml:space="preserve"> Web: </w:t>
    </w:r>
    <w:hyperlink r:id="rId2">
      <w:r>
        <w:rPr>
          <w:rStyle w:val="-"/>
          <w:i/>
          <w:color w:val="A6A6A6" w:themeColor="background1" w:themeShade="A6"/>
          <w:sz w:val="20"/>
          <w:szCs w:val="20"/>
        </w:rPr>
        <w:t>www.agora.mfa.gr</w:t>
      </w:r>
    </w:hyperlink>
  </w:p>
  <w:p w:rsidR="00803C9C" w:rsidRDefault="00803C9C">
    <w:pPr>
      <w:pStyle w:val="a5"/>
      <w:jc w:val="center"/>
      <w:rPr>
        <w:i/>
        <w:sz w:val="20"/>
        <w:szCs w:val="20"/>
        <w:lang w:val="en-GB"/>
      </w:rPr>
    </w:pPr>
  </w:p>
  <w:p w:rsidR="00803C9C" w:rsidRDefault="00803C9C">
    <w:pPr>
      <w:pStyle w:val="a5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5D" w:rsidRDefault="004D1A5D">
      <w:r>
        <w:separator/>
      </w:r>
    </w:p>
  </w:footnote>
  <w:footnote w:type="continuationSeparator" w:id="0">
    <w:p w:rsidR="004D1A5D" w:rsidRDefault="004D1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9C"/>
    <w:rsid w:val="004D1A5D"/>
    <w:rsid w:val="006A542B"/>
    <w:rsid w:val="0080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5D664-086C-467E-B313-3B91B62E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73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4797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2160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2160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qFormat/>
    <w:locked/>
    <w:rsid w:val="00747973"/>
    <w:rPr>
      <w:rFonts w:ascii="Arial" w:hAnsi="Arial" w:cs="Arial"/>
      <w:b/>
      <w:bCs/>
      <w:kern w:val="2"/>
      <w:sz w:val="32"/>
      <w:szCs w:val="32"/>
      <w:lang w:val="en-US" w:eastAsia="en-US" w:bidi="ar-SA"/>
    </w:rPr>
  </w:style>
  <w:style w:type="character" w:styleId="-">
    <w:name w:val="Hyperlink"/>
    <w:basedOn w:val="a0"/>
    <w:uiPriority w:val="99"/>
    <w:rsid w:val="00747973"/>
    <w:rPr>
      <w:rFonts w:cs="Times New Roman"/>
      <w:color w:val="0000FF"/>
      <w:u w:val="none"/>
      <w:effect w:val="none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locked/>
    <w:rsid w:val="00A13978"/>
    <w:rPr>
      <w:rFonts w:cs="Times New Roman"/>
      <w:sz w:val="2"/>
    </w:rPr>
  </w:style>
  <w:style w:type="character" w:styleId="a4">
    <w:name w:val="Emphasis"/>
    <w:basedOn w:val="a0"/>
    <w:uiPriority w:val="20"/>
    <w:qFormat/>
    <w:locked/>
    <w:rsid w:val="00EB1D3A"/>
    <w:rPr>
      <w:i/>
      <w:iCs/>
    </w:rPr>
  </w:style>
  <w:style w:type="character" w:customStyle="1" w:styleId="st">
    <w:name w:val="st"/>
    <w:basedOn w:val="a0"/>
    <w:qFormat/>
    <w:rsid w:val="00AB4B94"/>
  </w:style>
  <w:style w:type="character" w:customStyle="1" w:styleId="Char1">
    <w:name w:val="Υποσέλιδο Char1"/>
    <w:basedOn w:val="a0"/>
    <w:link w:val="a5"/>
    <w:uiPriority w:val="99"/>
    <w:qFormat/>
    <w:rsid w:val="00ED567B"/>
    <w:rPr>
      <w:sz w:val="24"/>
      <w:szCs w:val="24"/>
    </w:rPr>
  </w:style>
  <w:style w:type="character" w:customStyle="1" w:styleId="Char0">
    <w:name w:val="Υποσέλιδο Char"/>
    <w:basedOn w:val="a0"/>
    <w:uiPriority w:val="99"/>
    <w:qFormat/>
    <w:rsid w:val="00ED567B"/>
    <w:rPr>
      <w:sz w:val="24"/>
      <w:szCs w:val="24"/>
    </w:rPr>
  </w:style>
  <w:style w:type="character" w:customStyle="1" w:styleId="2Char">
    <w:name w:val="Επικεφαλίδα 2 Char"/>
    <w:basedOn w:val="a0"/>
    <w:link w:val="2"/>
    <w:semiHidden/>
    <w:qFormat/>
    <w:rsid w:val="00216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semiHidden/>
    <w:qFormat/>
    <w:rsid w:val="002160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6">
    <w:name w:val="Strong"/>
    <w:basedOn w:val="a0"/>
    <w:uiPriority w:val="99"/>
    <w:qFormat/>
    <w:locked/>
    <w:rsid w:val="0021604B"/>
    <w:rPr>
      <w:b/>
      <w:bCs/>
    </w:rPr>
  </w:style>
  <w:style w:type="character" w:customStyle="1" w:styleId="muted">
    <w:name w:val="muted"/>
    <w:basedOn w:val="a0"/>
    <w:qFormat/>
    <w:rsid w:val="0021604B"/>
  </w:style>
  <w:style w:type="character" w:customStyle="1" w:styleId="-HTMLChar">
    <w:name w:val="Προ-διαμορφωμένο HTML Char"/>
    <w:basedOn w:val="a0"/>
    <w:uiPriority w:val="99"/>
    <w:semiHidden/>
    <w:qFormat/>
    <w:rsid w:val="001A2FA4"/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NumberingSymbols">
    <w:name w:val="Numbering Symbols"/>
    <w:qFormat/>
    <w:rsid w:val="001D5591"/>
  </w:style>
  <w:style w:type="character" w:customStyle="1" w:styleId="Bullets">
    <w:name w:val="Bullets"/>
    <w:qFormat/>
    <w:rsid w:val="001D5591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7"/>
    <w:qFormat/>
    <w:rsid w:val="00BC27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BC2764"/>
    <w:pPr>
      <w:spacing w:after="140" w:line="276" w:lineRule="auto"/>
    </w:pPr>
  </w:style>
  <w:style w:type="paragraph" w:styleId="a8">
    <w:name w:val="List"/>
    <w:basedOn w:val="a7"/>
    <w:rsid w:val="00BC2764"/>
    <w:rPr>
      <w:rFonts w:cs="Lohit Devanagari"/>
    </w:rPr>
  </w:style>
  <w:style w:type="paragraph" w:styleId="a9">
    <w:name w:val="caption"/>
    <w:basedOn w:val="a"/>
    <w:qFormat/>
    <w:rsid w:val="00BC276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C2764"/>
    <w:pPr>
      <w:suppressLineNumbers/>
    </w:pPr>
    <w:rPr>
      <w:rFonts w:cs="Lohit Devanagari"/>
    </w:rPr>
  </w:style>
  <w:style w:type="paragraph" w:styleId="a3">
    <w:name w:val="Balloon Text"/>
    <w:basedOn w:val="a"/>
    <w:link w:val="Char"/>
    <w:uiPriority w:val="99"/>
    <w:semiHidden/>
    <w:qFormat/>
    <w:rsid w:val="00984E92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qFormat/>
    <w:rsid w:val="000447AA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BC2764"/>
  </w:style>
  <w:style w:type="paragraph" w:styleId="aa">
    <w:name w:val="header"/>
    <w:basedOn w:val="a"/>
    <w:uiPriority w:val="99"/>
    <w:unhideWhenUsed/>
    <w:rsid w:val="00ED567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D567B"/>
    <w:pPr>
      <w:tabs>
        <w:tab w:val="center" w:pos="4153"/>
        <w:tab w:val="right" w:pos="8306"/>
      </w:tabs>
    </w:pPr>
  </w:style>
  <w:style w:type="paragraph" w:styleId="ab">
    <w:name w:val="List Paragraph"/>
    <w:basedOn w:val="a"/>
    <w:uiPriority w:val="34"/>
    <w:qFormat/>
    <w:rsid w:val="003041E4"/>
    <w:pPr>
      <w:ind w:left="720"/>
      <w:contextualSpacing/>
    </w:pPr>
  </w:style>
  <w:style w:type="paragraph" w:styleId="-HTML">
    <w:name w:val="HTML Preformatted"/>
    <w:basedOn w:val="a"/>
    <w:uiPriority w:val="99"/>
    <w:semiHidden/>
    <w:unhideWhenUsed/>
    <w:qFormat/>
    <w:rsid w:val="001A2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paragraph" w:customStyle="1" w:styleId="TableContents">
    <w:name w:val="Table Contents"/>
    <w:basedOn w:val="a"/>
    <w:qFormat/>
    <w:rsid w:val="001D5591"/>
    <w:pPr>
      <w:suppressLineNumbers/>
    </w:pPr>
  </w:style>
  <w:style w:type="paragraph" w:customStyle="1" w:styleId="TableHeading">
    <w:name w:val="Table Heading"/>
    <w:basedOn w:val="TableContents"/>
    <w:qFormat/>
    <w:rsid w:val="001D5591"/>
    <w:pPr>
      <w:jc w:val="center"/>
    </w:pPr>
    <w:rPr>
      <w:b/>
      <w:bCs/>
    </w:rPr>
  </w:style>
  <w:style w:type="table" w:styleId="ac">
    <w:name w:val="Table Grid"/>
    <w:basedOn w:val="a1"/>
    <w:uiPriority w:val="99"/>
    <w:rsid w:val="00AA053E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ora.mfa.gr/romania" TargetMode="External"/><Relationship Id="rId1" Type="http://schemas.openxmlformats.org/officeDocument/2006/relationships/hyperlink" Target="mailto:ecocom-bucharest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0C6DA-759B-47CB-82CC-C7F0063E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3086</Characters>
  <Application>Microsoft Office Word</Application>
  <DocSecurity>0</DocSecurity>
  <Lines>25</Lines>
  <Paragraphs>7</Paragraphs>
  <ScaleCrop>false</ScaleCrop>
  <Company>Grizli777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dimitra.schina</dc:creator>
  <dc:description/>
  <cp:lastModifiedBy>Sofia</cp:lastModifiedBy>
  <cp:revision>2</cp:revision>
  <cp:lastPrinted>2023-11-17T13:28:00Z</cp:lastPrinted>
  <dcterms:created xsi:type="dcterms:W3CDTF">2023-11-22T10:02:00Z</dcterms:created>
  <dcterms:modified xsi:type="dcterms:W3CDTF">2023-11-22T10:02:00Z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