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603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6030"/>
      </w:tblGrid>
      <w:tr>
        <w:trPr/>
        <w:tc>
          <w:tcPr>
            <w:tcW w:w="603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Cambria" w:hAnsi="Cambria" w:asciiTheme="majorHAnsi" w:hAnsiTheme="majorHAnsi"/>
                <w:lang w:val="el-GR"/>
              </w:rPr>
            </w:pPr>
            <w:r>
              <w:rPr/>
              <w:drawing>
                <wp:inline distT="0" distB="0" distL="0" distR="0">
                  <wp:extent cx="639445" cy="59055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7376" b="4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603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ΠΡΕΣΒΕΙΑ THΣ ΕΛΛΑΔOΣ ΣΤΟ ΒΟΥΚΟΥΡΕΣΤΙ</w:t>
            </w:r>
          </w:p>
          <w:p>
            <w:pPr>
              <w:pStyle w:val="Heading1"/>
              <w:spacing w:lineRule="auto" w:line="276" w:before="0" w:after="0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cs="Times New Roman" w:ascii="Georgia" w:hAnsi="Georgia"/>
                <w:sz w:val="22"/>
                <w:szCs w:val="22"/>
                <w:lang w:val="el-GR"/>
              </w:rPr>
              <w:t>ΓΡΑΦΕΙΟ ΟΙΚΟΝΟΜΙΚΩΝ &amp; ΕΜΠΟΡΙΚΩΝ ΥΠΟΘΕΣΕΩΝ</w:t>
            </w:r>
          </w:p>
          <w:p>
            <w:pPr>
              <w:pStyle w:val="Normal"/>
              <w:spacing w:lineRule="auto" w:line="276"/>
              <w:jc w:val="center"/>
              <w:rPr>
                <w:rFonts w:ascii="Cambria" w:hAnsi="Cambria" w:asciiTheme="majorHAnsi" w:hAnsiTheme="majorHAnsi"/>
                <w:i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ajorHAnsi" w:hAnsiTheme="majorHAnsi" w:ascii="Cambria" w:hAnsi="Cambria"/>
                <w:i/>
                <w:iCs/>
                <w:sz w:val="22"/>
                <w:szCs w:val="22"/>
                <w:lang w:val="el-GR"/>
              </w:rPr>
            </w:r>
          </w:p>
        </w:tc>
      </w:tr>
    </w:tbl>
    <w:p>
      <w:pPr>
        <w:pStyle w:val="Normal"/>
        <w:spacing w:lineRule="auto" w:line="276"/>
        <w:jc w:val="right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  <w:lang w:val="el-GR"/>
        </w:rPr>
        <w:t>ΕΠΕΙΓΟΝ</w:t>
      </w:r>
    </w:p>
    <w:p>
      <w:pPr>
        <w:pStyle w:val="Normal"/>
        <w:spacing w:lineRule="auto" w:line="276"/>
        <w:jc w:val="right"/>
        <w:rPr>
          <w:rFonts w:ascii="Georgia" w:hAnsi="Georgia"/>
        </w:rPr>
      </w:pPr>
      <w:r>
        <w:rPr>
          <w:rFonts w:ascii="Georgia" w:hAnsi="Georgia"/>
          <w:b/>
          <w:sz w:val="22"/>
          <w:szCs w:val="22"/>
          <w:lang w:val="el-GR"/>
        </w:rPr>
        <w:t>ΑΔΙΑΒΑΘΜΗΤΟ</w:t>
      </w:r>
    </w:p>
    <w:tbl>
      <w:tblPr>
        <w:tblW w:w="339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92"/>
      </w:tblGrid>
      <w:tr>
        <w:trPr>
          <w:trHeight w:val="585" w:hRule="atLeast"/>
        </w:trPr>
        <w:tc>
          <w:tcPr>
            <w:tcW w:w="3392" w:type="dxa"/>
            <w:tcBorders/>
          </w:tcPr>
          <w:p>
            <w:pPr>
              <w:pStyle w:val="Normal"/>
              <w:spacing w:lineRule="auto" w:line="276"/>
              <w:rPr>
                <w:rFonts w:ascii="Cambria" w:hAnsi="Cambria"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Cambria" w:hAnsi="Cambria"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="Cambria" w:hAnsi="Cambria" w:asciiTheme="majorHAnsi" w:hAnsiTheme="majorHAnsi"/>
                <w:sz w:val="22"/>
                <w:szCs w:val="22"/>
                <w:lang w:val="el-GR"/>
              </w:rPr>
              <w:t xml:space="preserve">    </w:t>
            </w:r>
            <w:r>
              <w:rPr>
                <w:rFonts w:ascii="Cambria" w:hAnsi="Cambria" w:asciiTheme="majorHAnsi" w:hAnsiTheme="majorHAnsi"/>
                <w:sz w:val="22"/>
                <w:szCs w:val="22"/>
                <w:lang w:val="el-GR"/>
              </w:rPr>
              <w:t>8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Μαρτ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ίου </w:t>
            </w:r>
            <w:r>
              <w:rPr>
                <w:rFonts w:ascii="Georgia" w:hAnsi="Georgia"/>
                <w:sz w:val="22"/>
                <w:szCs w:val="22"/>
              </w:rPr>
              <w:t>20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22</w:t>
            </w:r>
          </w:p>
          <w:p>
            <w:pPr>
              <w:pStyle w:val="Normal"/>
              <w:spacing w:lineRule="auto" w:line="276"/>
              <w:rPr>
                <w:rFonts w:ascii="Georgia" w:hAnsi="Georgia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  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ΑΠ</w:t>
            </w:r>
            <w:r>
              <w:rPr>
                <w:rFonts w:ascii="Georgia" w:hAnsi="Georgia"/>
                <w:sz w:val="22"/>
                <w:szCs w:val="22"/>
              </w:rPr>
              <w:t>.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Φ</w:t>
            </w:r>
            <w:r>
              <w:rPr>
                <w:rFonts w:ascii="Georgia" w:hAnsi="Georgia"/>
                <w:sz w:val="22"/>
                <w:szCs w:val="22"/>
              </w:rPr>
              <w:t xml:space="preserve"> : 2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700</w:t>
            </w:r>
            <w:r>
              <w:rPr>
                <w:rFonts w:ascii="Georgia" w:hAnsi="Georgia"/>
                <w:sz w:val="22"/>
                <w:szCs w:val="22"/>
              </w:rPr>
              <w:t>/</w:t>
            </w:r>
            <w:r>
              <w:rPr>
                <w:rFonts w:ascii="Georgia" w:hAnsi="Georgia"/>
                <w:sz w:val="22"/>
                <w:szCs w:val="22"/>
              </w:rPr>
              <w:t>539</w:t>
            </w:r>
          </w:p>
          <w:p>
            <w:pPr>
              <w:pStyle w:val="Normal"/>
              <w:spacing w:lineRule="auto" w:line="276"/>
              <w:jc w:val="right"/>
              <w:rPr>
                <w:rFonts w:ascii="Cambria" w:hAnsi="Cambria" w:asciiTheme="majorHAnsi" w:hAnsiTheme="majorHAnsi"/>
                <w:sz w:val="22"/>
                <w:szCs w:val="22"/>
                <w:lang w:val="el-GR"/>
              </w:rPr>
            </w:pPr>
            <w:r>
              <w:rPr>
                <w:rFonts w:asciiTheme="majorHAnsi" w:hAnsiTheme="majorHAnsi" w:ascii="Cambria" w:hAnsi="Cambria"/>
                <w:sz w:val="22"/>
                <w:szCs w:val="22"/>
                <w:lang w:val="el-GR"/>
              </w:rPr>
            </w:r>
          </w:p>
        </w:tc>
      </w:tr>
    </w:tbl>
    <w:p>
      <w:pPr>
        <w:pStyle w:val="Normal"/>
        <w:spacing w:lineRule="auto" w:line="276"/>
        <w:rPr>
          <w:rFonts w:ascii="Cambria" w:hAnsi="Cambria" w:asciiTheme="majorHAnsi" w:hAnsiTheme="majorHAnsi"/>
          <w:sz w:val="22"/>
          <w:szCs w:val="22"/>
        </w:rPr>
      </w:pPr>
      <w:r>
        <w:rPr>
          <w:rFonts w:asciiTheme="majorHAnsi" w:hAnsiTheme="majorHAnsi" w:ascii="Cambria" w:hAnsi="Cambria"/>
          <w:sz w:val="22"/>
          <w:szCs w:val="22"/>
        </w:rPr>
      </w:r>
    </w:p>
    <w:tbl>
      <w:tblPr>
        <w:tblW w:w="9495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1165"/>
        <w:gridCol w:w="8329"/>
      </w:tblGrid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ΠΡΟΣ: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Β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>1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 Δ/νση </w:t>
            </w:r>
            <w:r>
              <w:rPr>
                <w:rFonts w:ascii="Georgia" w:hAnsi="Georgia"/>
                <w:sz w:val="22"/>
                <w:szCs w:val="22"/>
                <w:lang w:val="el-GR"/>
              </w:rPr>
              <w:t xml:space="preserve">Σχεδιασμού Εξωστρέφειας </w:t>
            </w:r>
          </w:p>
          <w:p>
            <w:pPr>
              <w:pStyle w:val="Normal"/>
              <w:spacing w:lineRule="auto" w:line="276"/>
              <w:jc w:val="both"/>
              <w:rPr>
                <w:color w:val="000000"/>
              </w:rPr>
            </w:pPr>
            <w:r>
              <w:rPr>
                <w:rFonts w:ascii="Georgia" w:hAnsi="Georgi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lang w:val="el-GR"/>
              </w:rPr>
              <w:t>&amp; Συντονισμού Φορέων Εξωστρέφειας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</w:r>
          </w:p>
        </w:tc>
      </w:tr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ΚΟΙΝ.: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Ως Πίνακας Αποδεκτών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</w:r>
          </w:p>
        </w:tc>
      </w:tr>
      <w:tr>
        <w:trPr/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Ε.Δ.: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Γραφείο κας Πρέσβεως</w:t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</w:r>
          </w:p>
          <w:p>
            <w:pPr>
              <w:pStyle w:val="Normal"/>
              <w:spacing w:lineRule="auto" w:line="276"/>
              <w:jc w:val="both"/>
              <w:rPr>
                <w:rFonts w:ascii="Georgia" w:hAnsi="Georgia"/>
                <w:b/>
                <w:b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</w:r>
          </w:p>
        </w:tc>
      </w:tr>
      <w:tr>
        <w:trPr>
          <w:trHeight w:val="656" w:hRule="atLeast"/>
        </w:trPr>
        <w:tc>
          <w:tcPr>
            <w:tcW w:w="1165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spacing w:lineRule="auto" w:line="276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ΘΕΜΑ:</w:t>
            </w:r>
          </w:p>
        </w:tc>
        <w:tc>
          <w:tcPr>
            <w:tcW w:w="832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Η Ρουμανία δεν θα προχωρήσει προς το παρόν, σε περιορισμό εξαγωγών δημητριακών, </w:t>
            </w: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η Μολδαβία έχει προχωρήσει σε </w:t>
            </w: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>απαγόρευση</w:t>
            </w:r>
            <w:r>
              <w:rPr>
                <w:rFonts w:ascii="Georgia" w:hAnsi="Georgia"/>
                <w:b/>
                <w:sz w:val="22"/>
                <w:szCs w:val="22"/>
                <w:lang w:val="el-GR"/>
              </w:rPr>
              <w:t xml:space="preserve"> εξαγωγών δημητριακών από 1ης Μαρτίου τ.έ.</w:t>
            </w:r>
          </w:p>
        </w:tc>
      </w:tr>
    </w:tbl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>
          <w:rFonts w:ascii="Cambria" w:hAnsi="Cambria" w:asciiTheme="majorHAnsi" w:hAnsiTheme="majorHAnsi"/>
          <w:sz w:val="22"/>
          <w:szCs w:val="22"/>
          <w:lang w:val="el-GR"/>
        </w:rPr>
        <w:t xml:space="preserve">     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>
          <w:rFonts w:ascii="Georgia" w:hAnsi="Georgia"/>
          <w:sz w:val="22"/>
          <w:szCs w:val="22"/>
          <w:lang w:val="el-GR"/>
        </w:rPr>
        <w:t xml:space="preserve">  </w:t>
      </w:r>
      <w:r>
        <w:rPr>
          <w:rFonts w:ascii="Georgia" w:hAnsi="Georgia"/>
          <w:sz w:val="22"/>
          <w:szCs w:val="22"/>
          <w:lang w:val="el-GR"/>
        </w:rPr>
        <w:t xml:space="preserve">Σύμφωνα με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χθεσινές δηλώσεις Ρ/Υπουργού Γεωργίας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κ.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Adrian-Ionuț Chesnoiu,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η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Ρουμανία δεν σχεδιάζει να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προχωρήσει προς το παρόν, σε περιορισμό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ή απαγόρευση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των εξαγωγών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δημητριακών, παρά το γεγονός ότι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ορισμένες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χώρες της περιοχής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(σ.σ. Μολδαβία, Ουγγαρία, Βουλγαρία)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το έκαναν μετά την εισβολή της Ρωσίας στην Ουκρανία.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Αυτό συμβαίνει καθώς μετά την ξηρασία του 2020, η ρ/παραγωγή σιτηρών ανήλθε το 2021 στα ύψη ρεκόρ των 11 εκ.τόνων, με αποτέλεσμα καθώς η τοπική κατανάλωση ανέρχεται σε 4,5 εκ.τόνους, να υπάρχει σημαντικό απόθεμα προς εξαγωγή.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Ωστόσο, ο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κ.Υ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πουργός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σημείωσε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ότι οι περιορισμοί θα μπορούσαν να επιβληθούν αργότερα εάν αλλάξει η κατάσταση.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Όσον αφορά στην Μολδαβία,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η Μ/Κυβέρνηση έχει επιβάλλει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 xml:space="preserve"> απαγόρευση εξαγωγών σιταριού, καλαμποκιού και ζάχαρης από 1η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>ς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 xml:space="preserve"> Μαρτίου 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>τ.έ.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 xml:space="preserve"> λόγω των χαμηλών αποθεμάτων, 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 xml:space="preserve">ενώ παράλληλα η 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 xml:space="preserve">Κυβέρνηση 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 xml:space="preserve">κήρυξε 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 xml:space="preserve">την χώρα σε 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 xml:space="preserve">κατάσταση έκτακτης ανάγκης στις 24 Φεβρουαρίου 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>και για περίοδο 60 ημερών. Σ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 xml:space="preserve">ε αυτό το πλαίσιο συμπεριέλαβε το σιτάρι, το καλαμπόκι και την ζάχαρη στα είδη πρώτης ανάγκης, όπου 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 xml:space="preserve">επίσης </w:t>
      </w:r>
      <w:r>
        <w:rPr>
          <w:rFonts w:ascii="georgia;serif" w:hAnsi="georgia;serif"/>
          <w:b w:val="false"/>
          <w:bCs w:val="false"/>
          <w:i w:val="false"/>
          <w:caps w:val="false"/>
          <w:smallCaps w:val="false"/>
          <w:color w:val="000000"/>
          <w:spacing w:val="0"/>
          <w:sz w:val="21"/>
          <w:szCs w:val="22"/>
          <w:lang w:val="el-GR"/>
        </w:rPr>
        <w:t>περιλαμβανόταν τα γαλακτοκομικά, το ρύζι, το αλεύρι, οι πατάτες, το κρέας και τα ψάρια για τα οποία το εμπορικό κέρδος υπόκειται σε περιορισμό προς αποφυγή εκτίναξης των τιμών.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Σημειώνεται επίσης ότι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όσον αφορά στην Ουκρανία,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σύμφωνα με το Πρακτορείο Ειδήσεων Interfax Ukraine, η Κυβέρνηση εισήγαγε στις 6 Μαρτίου τ.έ., άδεια εξαγωγής βασικών τροφίμων, όπως σιτάρι, καλαμπόκι, βρώμη, φαγόπυρο, κεχρί, ζάχαρη, αλάτι, κρέας πουλερικών και ηλιέλαιο. 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Επιπλέον από πλευράς μας σε σχέση με τα ανωτέρω και όσον αφορά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σ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τις 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ελληνικές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>εισαγωγές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δημητριακών από Ρουμανία και Μολδαβία -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εν αναμονή των αναλυτικότερων στοιχείων από ΕΛ.ΣΤΑΤ. για το 2021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και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lang w:val="el-GR"/>
        </w:rPr>
        <w:t>γνωρίζοντας ότι οι ελληνικές εισαγωγές ήταν αυξημένες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 τόσο από Ρουμανία όσο και από Μολδαβία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-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lang w:val="el-GR"/>
        </w:rPr>
        <w:t xml:space="preserve">αναφέρονται τα εξής : 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lang w:val="el-GR"/>
        </w:rPr>
        <w:t xml:space="preserve">Α.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lang w:val="el-GR"/>
        </w:rPr>
        <w:t xml:space="preserve">Εισαγωγές από την 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lang w:val="el-GR"/>
        </w:rPr>
        <w:t>Ρουμανία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lang w:val="el-GR"/>
        </w:rPr>
        <w:t xml:space="preserve">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lang w:val="el-GR"/>
        </w:rPr>
        <w:t>το 2020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Καλαμπόκι, 102,5 εκ.τόνοι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Σιτάρι, 53,8 εκ.τόνοι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Κριθάρι, 5,1 εκ.τόνοι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u w:val="single"/>
        </w:rPr>
        <w:t xml:space="preserve">Β.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lang w:val="el-GR"/>
        </w:rPr>
        <w:t xml:space="preserve">Εισαγωγές από την </w:t>
      </w:r>
      <w:r>
        <w:rPr>
          <w:rFonts w:ascii="Georgia" w:hAnsi="Georgia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lang w:val="el-GR"/>
        </w:rPr>
        <w:t>Μολδαβία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lang w:val="el-GR"/>
        </w:rPr>
        <w:t xml:space="preserve"> </w:t>
      </w:r>
      <w:r>
        <w:rPr>
          <w:rFonts w:ascii="Georgia" w:hAnsi="Georgia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  <w:u w:val="single"/>
          <w:lang w:val="el-GR"/>
        </w:rPr>
        <w:t>το 2020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Καλαμπόκι, </w:t>
      </w:r>
      <w:r>
        <w:rPr>
          <w:rFonts w:ascii="Georgia" w:hAnsi="Georgia"/>
          <w:sz w:val="22"/>
          <w:szCs w:val="22"/>
        </w:rPr>
        <w:t>63,1</w:t>
      </w:r>
      <w:r>
        <w:rPr>
          <w:rFonts w:ascii="Georgia" w:hAnsi="Georgia"/>
          <w:sz w:val="22"/>
          <w:szCs w:val="22"/>
        </w:rPr>
        <w:t xml:space="preserve"> εκ.τόνοι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Σιτάρι, </w:t>
      </w:r>
      <w:r>
        <w:rPr>
          <w:rFonts w:ascii="Georgia" w:hAnsi="Georgia"/>
          <w:sz w:val="22"/>
          <w:szCs w:val="22"/>
        </w:rPr>
        <w:t>34,3</w:t>
      </w:r>
      <w:r>
        <w:rPr>
          <w:rFonts w:ascii="Georgia" w:hAnsi="Georgia"/>
          <w:sz w:val="22"/>
          <w:szCs w:val="22"/>
        </w:rPr>
        <w:t xml:space="preserve"> εκ.τόνοι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Κριθάρι, </w:t>
      </w:r>
      <w:r>
        <w:rPr>
          <w:rFonts w:ascii="Georgia" w:hAnsi="Georgia"/>
          <w:sz w:val="22"/>
          <w:szCs w:val="22"/>
        </w:rPr>
        <w:t>6,3</w:t>
      </w:r>
      <w:r>
        <w:rPr>
          <w:rFonts w:ascii="Georgia" w:hAnsi="Georgia"/>
          <w:sz w:val="22"/>
          <w:szCs w:val="22"/>
        </w:rPr>
        <w:t xml:space="preserve"> εκ.τόνοι 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tbl>
      <w:tblPr>
        <w:tblW w:w="3600" w:type="dxa"/>
        <w:jc w:val="left"/>
        <w:tblInd w:w="55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600"/>
      </w:tblGrid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Ο Δ/νων</w:t>
            </w:r>
          </w:p>
          <w:p>
            <w:pPr>
              <w:pStyle w:val="Normal"/>
              <w:spacing w:lineRule="auto" w:line="276"/>
              <w:rPr>
                <w:rFonts w:ascii="Georgia" w:hAnsi="Georgia"/>
                <w:sz w:val="22"/>
                <w:szCs w:val="22"/>
                <w:lang w:val="el-GR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Παντελής Γιαννούλης</w:t>
            </w:r>
          </w:p>
        </w:tc>
      </w:tr>
      <w:tr>
        <w:trPr/>
        <w:tc>
          <w:tcPr>
            <w:tcW w:w="3600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  <w:lang w:val="el-GR"/>
              </w:rPr>
              <w:t>Σύμβουλος ΟΕΥ Α΄</w:t>
            </w:r>
          </w:p>
        </w:tc>
      </w:tr>
    </w:tbl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Cambria" w:hAnsi="Cambria" w:asciiTheme="majorHAnsi" w:hAnsiTheme="majorHAnsi"/>
          <w:sz w:val="22"/>
          <w:szCs w:val="22"/>
          <w:lang w:val="el-GR"/>
        </w:rPr>
      </w:pPr>
      <w:r>
        <w:rPr/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b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Ως Πίνακας Αποδεκτών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b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b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1. ΥΠ.ΕΞ.</w:t>
      </w:r>
    </w:p>
    <w:p>
      <w:pPr>
        <w:pStyle w:val="Normal"/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l-GR"/>
        </w:rPr>
        <w:t xml:space="preserve">- </w:t>
      </w:r>
      <w:r>
        <w:rPr>
          <w:rFonts w:ascii="Georgia" w:hAnsi="Georgia"/>
          <w:sz w:val="22"/>
          <w:szCs w:val="22"/>
          <w:lang w:val="el-GR"/>
        </w:rPr>
        <w:t>Δ.Γ. κ.Υπουργού</w:t>
      </w:r>
    </w:p>
    <w:p>
      <w:pPr>
        <w:pStyle w:val="Normal"/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l-GR"/>
        </w:rPr>
        <w:t>- Δ.Γ. κ.ΑΝΥΠΕΞ</w:t>
      </w:r>
    </w:p>
    <w:p>
      <w:pPr>
        <w:pStyle w:val="Normal"/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l-GR"/>
        </w:rPr>
        <w:t xml:space="preserve">- Δ. Γ. Υφυπουργού κ. </w:t>
      </w:r>
      <w:r>
        <w:rPr>
          <w:rFonts w:ascii="Georgia" w:hAnsi="Georgia"/>
          <w:sz w:val="22"/>
          <w:szCs w:val="22"/>
          <w:lang w:val="el-GR"/>
        </w:rPr>
        <w:t>Κ.</w:t>
      </w:r>
      <w:r>
        <w:rPr>
          <w:rFonts w:ascii="Georgia" w:hAnsi="Georgia"/>
          <w:sz w:val="22"/>
          <w:szCs w:val="22"/>
          <w:lang w:val="el-GR"/>
        </w:rPr>
        <w:t>Φραγκογιάννη</w:t>
      </w:r>
    </w:p>
    <w:p>
      <w:pPr>
        <w:pStyle w:val="Normal"/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l-GR"/>
        </w:rPr>
        <w:t>- Γραφείο κ. Γ.Γ. ΔΟΣ και Εξωστρέφειας</w:t>
      </w:r>
    </w:p>
    <w:p>
      <w:pPr>
        <w:pStyle w:val="Normal"/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l-GR"/>
        </w:rPr>
        <w:t>- Γραφεία κ.</w:t>
      </w:r>
      <w:r>
        <w:rPr>
          <w:rFonts w:ascii="Georgia" w:hAnsi="Georgia"/>
          <w:sz w:val="22"/>
          <w:szCs w:val="22"/>
          <w:lang w:val="el-GR"/>
        </w:rPr>
        <w:t>κ.</w:t>
      </w:r>
      <w:r>
        <w:rPr>
          <w:rFonts w:ascii="Georgia" w:hAnsi="Georgia"/>
          <w:sz w:val="22"/>
          <w:szCs w:val="22"/>
          <w:lang w:val="el-GR"/>
        </w:rPr>
        <w:t xml:space="preserve"> </w:t>
      </w:r>
      <w:r>
        <w:rPr>
          <w:rFonts w:ascii="Georgia" w:hAnsi="Georgia"/>
          <w:sz w:val="22"/>
          <w:szCs w:val="22"/>
          <w:lang w:val="el-GR"/>
        </w:rPr>
        <w:t xml:space="preserve">Α’, </w:t>
      </w:r>
      <w:r>
        <w:rPr>
          <w:rFonts w:ascii="Georgia" w:hAnsi="Georgia"/>
          <w:sz w:val="22"/>
          <w:szCs w:val="22"/>
          <w:lang w:val="el-GR"/>
        </w:rPr>
        <w:t>Β΄</w:t>
      </w:r>
      <w:r>
        <w:rPr>
          <w:rFonts w:ascii="Georgia" w:hAnsi="Georgia"/>
          <w:sz w:val="22"/>
          <w:szCs w:val="22"/>
          <w:lang w:val="el-GR"/>
        </w:rPr>
        <w:t xml:space="preserve">&amp; Γ’ </w:t>
      </w:r>
      <w:r>
        <w:rPr>
          <w:rFonts w:ascii="Georgia" w:hAnsi="Georgia"/>
          <w:sz w:val="22"/>
          <w:szCs w:val="22"/>
          <w:lang w:val="el-GR"/>
        </w:rPr>
        <w:t>Γεν. Δ/ντ</w:t>
      </w:r>
      <w:r>
        <w:rPr>
          <w:rFonts w:ascii="Georgia" w:hAnsi="Georgia"/>
          <w:sz w:val="22"/>
          <w:szCs w:val="22"/>
          <w:lang w:val="el-GR"/>
        </w:rPr>
        <w:t>ών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  <w:lang w:val="el-GR"/>
        </w:rPr>
        <w:t>- Β</w:t>
      </w:r>
      <w:r>
        <w:rPr>
          <w:rFonts w:ascii="Georgia" w:hAnsi="Georgia"/>
          <w:sz w:val="22"/>
          <w:szCs w:val="22"/>
          <w:lang w:val="el-GR"/>
        </w:rPr>
        <w:t>4</w:t>
      </w:r>
      <w:r>
        <w:rPr>
          <w:rFonts w:ascii="Georgia" w:hAnsi="Georgia"/>
          <w:sz w:val="22"/>
          <w:szCs w:val="22"/>
          <w:lang w:val="el-GR"/>
        </w:rPr>
        <w:t xml:space="preserve"> Δ/νση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lang w:val="el-GR"/>
        </w:rPr>
      </w:pPr>
      <w:r>
        <w:rPr>
          <w:rFonts w:ascii="Georgia" w:hAnsi="Georgia"/>
          <w:sz w:val="22"/>
          <w:szCs w:val="22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b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  <w:lang w:val="el-GR"/>
        </w:rPr>
        <w:t xml:space="preserve">2. </w:t>
      </w:r>
      <w:r>
        <w:rPr>
          <w:rFonts w:ascii="Georgia" w:hAnsi="Georgia"/>
          <w:b/>
          <w:bCs/>
          <w:sz w:val="22"/>
          <w:szCs w:val="22"/>
          <w:lang w:val="el-GR"/>
        </w:rPr>
        <w:t>Υπουργείο Αγροτικής Ανάπτυξης και Τροφίμων</w:t>
      </w:r>
    </w:p>
    <w:p>
      <w:pPr>
        <w:pStyle w:val="Normal"/>
        <w:rPr>
          <w:rFonts w:ascii="Georgia" w:hAnsi="Georgia"/>
          <w:sz w:val="22"/>
          <w:szCs w:val="22"/>
        </w:rPr>
      </w:pPr>
      <w:r>
        <w:rPr>
          <w:rFonts w:cs="Arial" w:ascii="Georgia" w:hAnsi="Georgia"/>
          <w:sz w:val="22"/>
          <w:szCs w:val="22"/>
        </w:rPr>
        <w:t xml:space="preserve">    </w:t>
      </w:r>
      <w:r>
        <w:rPr>
          <w:rFonts w:cs="Arial" w:ascii="Georgia" w:hAnsi="Georgia"/>
          <w:sz w:val="22"/>
          <w:szCs w:val="22"/>
        </w:rPr>
        <w:t>-Γραφείο κ. Υπουργού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sz w:val="22"/>
          <w:szCs w:val="22"/>
        </w:rPr>
      </w:pPr>
      <w:r>
        <w:rPr>
          <w:rFonts w:cs="Arial" w:ascii="Georgia" w:hAnsi="Georgia"/>
          <w:sz w:val="22"/>
          <w:szCs w:val="22"/>
          <w:lang w:val="el-GR"/>
        </w:rPr>
        <w:t xml:space="preserve">    </w:t>
      </w:r>
      <w:r>
        <w:rPr>
          <w:rFonts w:cs="Arial" w:ascii="Georgia" w:hAnsi="Georgia"/>
          <w:sz w:val="22"/>
          <w:szCs w:val="22"/>
          <w:lang w:val="el-GR"/>
        </w:rPr>
        <w:t>-Γεν. Δ/νση Τροφίμων</w:t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lang w:val="el-GR"/>
        </w:rPr>
      </w:pPr>
      <w:r>
        <w:rPr>
          <w:rFonts w:ascii="Georgia" w:hAnsi="Georgia"/>
          <w:sz w:val="22"/>
          <w:szCs w:val="22"/>
        </w:rPr>
      </w:r>
    </w:p>
    <w:p>
      <w:pPr>
        <w:pStyle w:val="Normal"/>
        <w:tabs>
          <w:tab w:val="clear" w:pos="720"/>
          <w:tab w:val="left" w:pos="975" w:leader="none"/>
        </w:tabs>
        <w:spacing w:lineRule="auto" w:line="276"/>
        <w:jc w:val="both"/>
        <w:rPr>
          <w:rFonts w:ascii="Georgia" w:hAnsi="Georgia"/>
          <w:b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  <w:lang w:val="el-GR"/>
        </w:rPr>
        <w:t xml:space="preserve">3. </w:t>
      </w:r>
      <w:r>
        <w:rPr>
          <w:rFonts w:ascii="Georgia" w:hAnsi="Georgia"/>
          <w:b/>
          <w:bCs/>
          <w:sz w:val="22"/>
          <w:szCs w:val="22"/>
          <w:lang w:val="el-GR"/>
        </w:rPr>
        <w:t>Σύνδεσμοι - Επιμελητήρια</w:t>
      </w:r>
    </w:p>
    <w:sectPr>
      <w:footerReference w:type="default" r:id="rId3"/>
      <w:type w:val="nextPage"/>
      <w:pgSz w:w="11906" w:h="16838"/>
      <w:pgMar w:left="1260" w:right="1106" w:header="0" w:top="540" w:footer="720" w:bottom="10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Georgia">
    <w:charset w:val="01"/>
    <w:family w:val="roman"/>
    <w:pitch w:val="variable"/>
  </w:font>
  <w:font w:name="georgia">
    <w:altName w:val="serif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</w:r>
  </w:p>
  <w:p>
    <w:pPr>
      <w:pStyle w:val="Footer"/>
      <w:jc w:val="center"/>
      <w:rPr>
        <w:i/>
        <w:i/>
        <w:color w:val="A6A6A6" w:themeColor="background1" w:themeShade="a6"/>
        <w:sz w:val="20"/>
        <w:szCs w:val="20"/>
      </w:rPr>
    </w:pPr>
    <w:r>
      <w:rPr>
        <w:i/>
        <w:color w:val="A6A6A6" w:themeColor="background1" w:themeShade="a6"/>
        <w:sz w:val="20"/>
        <w:szCs w:val="20"/>
      </w:rPr>
      <w:t>PacheProtopopescu 1-3, Sector 2, Bucharest</w:t>
    </w:r>
  </w:p>
  <w:p>
    <w:pPr>
      <w:pStyle w:val="Footer"/>
      <w:jc w:val="center"/>
      <w:rPr>
        <w:i/>
        <w:i/>
        <w:color w:val="A6A6A6" w:themeColor="background1" w:themeShade="a6"/>
        <w:sz w:val="20"/>
        <w:szCs w:val="20"/>
        <w:lang w:val="it-IT"/>
      </w:rPr>
    </w:pPr>
    <w:r>
      <w:rPr>
        <w:i/>
        <w:color w:val="A6A6A6" w:themeColor="background1" w:themeShade="a6"/>
        <w:sz w:val="20"/>
        <w:szCs w:val="20"/>
        <w:lang w:val="el-GR"/>
      </w:rPr>
      <w:t>Τηλ</w:t>
    </w:r>
    <w:r>
      <w:rPr>
        <w:i/>
        <w:color w:val="A6A6A6" w:themeColor="background1" w:themeShade="a6"/>
        <w:sz w:val="20"/>
        <w:szCs w:val="20"/>
      </w:rPr>
      <w:t>.</w:t>
    </w:r>
    <w:r>
      <w:rPr>
        <w:i/>
        <w:color w:val="A6A6A6" w:themeColor="background1" w:themeShade="a6"/>
        <w:sz w:val="20"/>
        <w:szCs w:val="20"/>
        <w:lang w:val="it-IT"/>
      </w:rPr>
      <w:t>: +40-21-2100748,2115724, Fax: +40-21-2119893</w:t>
    </w:r>
  </w:p>
  <w:p>
    <w:pPr>
      <w:pStyle w:val="Footer"/>
      <w:jc w:val="center"/>
      <w:rPr>
        <w:i/>
        <w:i/>
        <w:color w:val="A6A6A6" w:themeColor="background1" w:themeShade="a6"/>
        <w:sz w:val="20"/>
        <w:szCs w:val="20"/>
        <w:lang w:val="en-GB"/>
      </w:rPr>
    </w:pPr>
    <w:r>
      <w:rPr>
        <w:i/>
        <w:color w:val="A6A6A6" w:themeColor="background1" w:themeShade="a6"/>
        <w:sz w:val="20"/>
        <w:szCs w:val="20"/>
        <w:lang w:val="it-IT"/>
      </w:rPr>
      <w:t xml:space="preserve">e-mail: </w:t>
    </w:r>
    <w:hyperlink r:id="rId1">
      <w:r>
        <w:rPr>
          <w:rStyle w:val="InternetLink"/>
          <w:i/>
          <w:color w:val="A6A6A6" w:themeColor="background1" w:themeShade="a6"/>
          <w:sz w:val="20"/>
          <w:szCs w:val="20"/>
          <w:lang w:val="it-IT"/>
        </w:rPr>
        <w:t>ecocom-bucharest@mfa.gr</w:t>
      </w:r>
    </w:hyperlink>
    <w:r>
      <w:rPr>
        <w:i/>
        <w:color w:val="A6A6A6" w:themeColor="background1" w:themeShade="a6"/>
        <w:sz w:val="20"/>
        <w:szCs w:val="20"/>
      </w:rPr>
      <w:t xml:space="preserve"> Web: </w:t>
    </w:r>
    <w:hyperlink r:id="rId2">
      <w:r>
        <w:rPr>
          <w:rStyle w:val="InternetLink"/>
          <w:i/>
          <w:color w:val="A6A6A6" w:themeColor="background1" w:themeShade="a6"/>
          <w:sz w:val="20"/>
          <w:szCs w:val="20"/>
        </w:rPr>
        <w:t>www.agora.mfa.gr</w:t>
      </w:r>
    </w:hyperlink>
  </w:p>
  <w:p>
    <w:pPr>
      <w:pStyle w:val="Footer"/>
      <w:jc w:val="center"/>
      <w:rPr>
        <w:i/>
        <w:i/>
        <w:sz w:val="20"/>
        <w:szCs w:val="20"/>
        <w:lang w:val="en-GB"/>
      </w:rPr>
    </w:pPr>
    <w:r>
      <w:rPr>
        <w:i/>
        <w:sz w:val="20"/>
        <w:szCs w:val="20"/>
        <w:lang w:val="en-GB"/>
      </w:rPr>
    </w:r>
  </w:p>
  <w:p>
    <w:pPr>
      <w:pStyle w:val="Footer"/>
      <w:jc w:val="center"/>
      <w:rPr>
        <w:lang w:val="en-GB"/>
      </w:rPr>
    </w:pPr>
    <w:r>
      <w:rPr>
        <w:lang w:val="en-GB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6"/>
  <w:embedSystemFonts/>
  <w:defaultTabStop w:val="720"/>
  <w:autoHyphenation w:val="true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semiHidden="0" w:unhideWhenUsed="0" w:qFormat="1"/>
    <w:lsdException w:name="Emphasis" w:locked="1" w:uiPriority="2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4797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7973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21604b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1604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747973"/>
    <w:rPr>
      <w:rFonts w:ascii="Arial" w:hAnsi="Arial" w:cs="Arial"/>
      <w:b/>
      <w:bCs/>
      <w:kern w:val="2"/>
      <w:sz w:val="32"/>
      <w:szCs w:val="32"/>
      <w:lang w:val="en-US" w:eastAsia="en-US" w:bidi="ar-SA"/>
    </w:rPr>
  </w:style>
  <w:style w:type="character" w:styleId="InternetLink">
    <w:name w:val="Hyperlink"/>
    <w:basedOn w:val="DefaultParagraphFont"/>
    <w:uiPriority w:val="99"/>
    <w:rsid w:val="00747973"/>
    <w:rPr>
      <w:rFonts w:cs="Times New Roman"/>
      <w:color w:val="0000FF"/>
      <w:u w:val="none"/>
      <w:effect w:val="non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a13978"/>
    <w:rPr>
      <w:rFonts w:cs="Times New Roman"/>
      <w:sz w:val="2"/>
    </w:rPr>
  </w:style>
  <w:style w:type="character" w:styleId="Emphasis">
    <w:name w:val="Emphasis"/>
    <w:basedOn w:val="DefaultParagraphFont"/>
    <w:uiPriority w:val="20"/>
    <w:qFormat/>
    <w:locked/>
    <w:rsid w:val="00eb1d3a"/>
    <w:rPr>
      <w:i/>
      <w:iCs/>
    </w:rPr>
  </w:style>
  <w:style w:type="character" w:styleId="St" w:customStyle="1">
    <w:name w:val="st"/>
    <w:basedOn w:val="DefaultParagraphFont"/>
    <w:qFormat/>
    <w:rsid w:val="00ab4b94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d567b"/>
    <w:rPr>
      <w:sz w:val="24"/>
      <w:szCs w:val="24"/>
    </w:rPr>
  </w:style>
  <w:style w:type="character" w:styleId="Char" w:customStyle="1">
    <w:name w:val="Υποσέλιδο Char"/>
    <w:basedOn w:val="DefaultParagraphFont"/>
    <w:uiPriority w:val="99"/>
    <w:qFormat/>
    <w:rsid w:val="00ed567b"/>
    <w:rPr>
      <w:sz w:val="24"/>
      <w:szCs w:val="24"/>
    </w:rPr>
  </w:style>
  <w:style w:type="character" w:styleId="Heading2Char" w:customStyle="1">
    <w:name w:val="Heading 2 Char"/>
    <w:basedOn w:val="DefaultParagraphFont"/>
    <w:link w:val="Heading2"/>
    <w:semiHidden/>
    <w:qFormat/>
    <w:rsid w:val="0021604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21604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21604b"/>
    <w:rPr>
      <w:b/>
      <w:bCs/>
    </w:rPr>
  </w:style>
  <w:style w:type="character" w:styleId="Muted" w:customStyle="1">
    <w:name w:val="muted"/>
    <w:basedOn w:val="DefaultParagraphFont"/>
    <w:qFormat/>
    <w:rsid w:val="0021604b"/>
    <w:rPr/>
  </w:style>
  <w:style w:type="character" w:styleId="HTMLChar" w:customStyle="1">
    <w:name w:val="Προ-διαμορφωμένο HTML Char"/>
    <w:basedOn w:val="DefaultParagraphFont"/>
    <w:uiPriority w:val="99"/>
    <w:semiHidden/>
    <w:qFormat/>
    <w:rsid w:val="001a2fa4"/>
    <w:rPr>
      <w:rFonts w:ascii="Courier New" w:hAnsi="Courier New" w:cs="Courier New"/>
      <w:sz w:val="20"/>
      <w:szCs w:val="20"/>
      <w:lang w:val="en-GB" w:eastAsia="en-GB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TextBody"/>
    <w:qFormat/>
    <w:rsid w:val="00bc2764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rsid w:val="00bc2764"/>
    <w:pPr>
      <w:spacing w:lineRule="auto" w:line="276" w:before="0" w:after="140"/>
    </w:pPr>
    <w:rPr/>
  </w:style>
  <w:style w:type="paragraph" w:styleId="List">
    <w:name w:val="List"/>
    <w:basedOn w:val="TextBody"/>
    <w:rsid w:val="00bc2764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bc2764"/>
    <w:pPr>
      <w:suppressLineNumbers/>
    </w:pPr>
    <w:rPr>
      <w:rFonts w:cs="Lohit Devanagari"/>
    </w:rPr>
  </w:style>
  <w:style w:type="paragraph" w:styleId="Caption1">
    <w:name w:val="caption"/>
    <w:basedOn w:val="Normal"/>
    <w:qFormat/>
    <w:rsid w:val="00bc2764"/>
    <w:pPr>
      <w:suppressLineNumbers/>
      <w:spacing w:before="120" w:after="120"/>
    </w:pPr>
    <w:rPr>
      <w:rFonts w:cs="Lohit Devanagari"/>
      <w:i/>
      <w:iCs/>
    </w:rPr>
  </w:style>
  <w:style w:type="paragraph" w:styleId="BalloonText">
    <w:name w:val="Balloon Text"/>
    <w:basedOn w:val="Normal"/>
    <w:link w:val="BalloonTextChar"/>
    <w:uiPriority w:val="99"/>
    <w:semiHidden/>
    <w:qFormat/>
    <w:rsid w:val="00984e92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447aa"/>
    <w:pPr>
      <w:spacing w:beforeAutospacing="1" w:afterAutospacing="1"/>
    </w:pPr>
    <w:rPr/>
  </w:style>
  <w:style w:type="paragraph" w:styleId="HeaderandFooter" w:customStyle="1">
    <w:name w:val="Header and Footer"/>
    <w:basedOn w:val="Normal"/>
    <w:qFormat/>
    <w:rsid w:val="00bc2764"/>
    <w:pPr/>
    <w:rPr/>
  </w:style>
  <w:style w:type="paragraph" w:styleId="Header">
    <w:name w:val="Header"/>
    <w:basedOn w:val="Normal"/>
    <w:uiPriority w:val="99"/>
    <w:unhideWhenUsed/>
    <w:rsid w:val="00ed567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ed567b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34"/>
    <w:qFormat/>
    <w:rsid w:val="003041e4"/>
    <w:pPr>
      <w:spacing w:before="0" w:after="0"/>
      <w:ind w:left="720" w:hanging="0"/>
      <w:contextualSpacing/>
    </w:pPr>
    <w:rPr/>
  </w:style>
  <w:style w:type="paragraph" w:styleId="HTMLPreformatted">
    <w:name w:val="HTML Preformatted"/>
    <w:basedOn w:val="Normal"/>
    <w:uiPriority w:val="99"/>
    <w:semiHidden/>
    <w:unhideWhenUsed/>
    <w:qFormat/>
    <w:rsid w:val="001a2fa4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val="en-GB" w:eastAsia="en-GB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a053e"/>
    <w:rPr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ecocom-bucharest@mfa.gr" TargetMode="External"/><Relationship Id="rId2" Type="http://schemas.openxmlformats.org/officeDocument/2006/relationships/hyperlink" Target="http://www.agora.mfa.gr/romania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26036-9BBA-494B-B8E7-D9FD75239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Application>LibreOffice/6.4.7.2$Linux_X86_64 LibreOffice_project/40$Build-2</Application>
  <Pages>3</Pages>
  <Words>453</Words>
  <Characters>2654</Characters>
  <CharactersWithSpaces>3086</CharactersWithSpaces>
  <Paragraphs>51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2021-11-04T13:00:00Z</dcterms:created>
  <dc:creator>dimitra.schina</dc:creator>
  <dc:description/>
  <dc:language>en-US</dc:language>
  <cp:lastModifiedBy/>
  <cp:lastPrinted>2022-02-14T11:50:06Z</cp:lastPrinted>
  <dcterms:modified xsi:type="dcterms:W3CDTF">2022-03-08T13:39:35Z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