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30" w:type="dxa"/>
        <w:tblInd w:w="70" w:type="dxa"/>
        <w:tblCellMar>
          <w:left w:w="70" w:type="dxa"/>
          <w:right w:w="70" w:type="dxa"/>
        </w:tblCellMar>
        <w:tblLook w:val="0000" w:firstRow="0" w:lastRow="0" w:firstColumn="0" w:lastColumn="0" w:noHBand="0" w:noVBand="0"/>
      </w:tblPr>
      <w:tblGrid>
        <w:gridCol w:w="6030"/>
      </w:tblGrid>
      <w:tr w:rsidR="00DB4E24">
        <w:tc>
          <w:tcPr>
            <w:tcW w:w="6030" w:type="dxa"/>
          </w:tcPr>
          <w:p w:rsidR="00DB4E24" w:rsidRDefault="001E0D5B">
            <w:pPr>
              <w:spacing w:line="276" w:lineRule="auto"/>
              <w:jc w:val="center"/>
              <w:rPr>
                <w:rFonts w:asciiTheme="majorHAnsi" w:hAnsiTheme="majorHAnsi"/>
                <w:lang w:val="el-GR"/>
              </w:rPr>
            </w:pPr>
            <w:bookmarkStart w:id="0" w:name="_GoBack"/>
            <w:bookmarkEnd w:id="0"/>
            <w:r>
              <w:rPr>
                <w:noProof/>
                <w:lang w:val="el-GR" w:eastAsia="el-GR"/>
              </w:rPr>
              <w:drawing>
                <wp:inline distT="0" distB="0" distL="0" distR="0">
                  <wp:extent cx="63944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r="7376" b="4661"/>
                          <a:stretch>
                            <a:fillRect/>
                          </a:stretch>
                        </pic:blipFill>
                        <pic:spPr bwMode="auto">
                          <a:xfrm>
                            <a:off x="0" y="0"/>
                            <a:ext cx="639445" cy="590550"/>
                          </a:xfrm>
                          <a:prstGeom prst="rect">
                            <a:avLst/>
                          </a:prstGeom>
                        </pic:spPr>
                      </pic:pic>
                    </a:graphicData>
                  </a:graphic>
                </wp:inline>
              </w:drawing>
            </w:r>
          </w:p>
        </w:tc>
      </w:tr>
      <w:tr w:rsidR="00DB4E24" w:rsidRPr="006B78FD">
        <w:tc>
          <w:tcPr>
            <w:tcW w:w="6030" w:type="dxa"/>
          </w:tcPr>
          <w:p w:rsidR="00DB4E24" w:rsidRDefault="001E0D5B">
            <w:pPr>
              <w:spacing w:line="276" w:lineRule="auto"/>
              <w:jc w:val="center"/>
              <w:rPr>
                <w:rFonts w:ascii="Georgia" w:hAnsi="Georgia"/>
                <w:sz w:val="22"/>
                <w:lang w:val="el-GR"/>
              </w:rPr>
            </w:pPr>
            <w:r>
              <w:rPr>
                <w:rFonts w:ascii="Georgia" w:hAnsi="Georgia"/>
                <w:b/>
                <w:sz w:val="22"/>
                <w:szCs w:val="22"/>
                <w:lang w:val="el-GR"/>
              </w:rPr>
              <w:t>ΠΡΕΣΒΕΙΑ THΣ ΕΛΛΑΔOΣ ΣΤΟ ΒΟΥΚΟΥΡΕΣΤΙ</w:t>
            </w:r>
          </w:p>
          <w:p w:rsidR="00DB4E24" w:rsidRDefault="001E0D5B">
            <w:pPr>
              <w:pStyle w:val="1"/>
              <w:spacing w:before="0" w:after="0" w:line="276" w:lineRule="auto"/>
              <w:jc w:val="center"/>
              <w:rPr>
                <w:rFonts w:ascii="Georgia" w:hAnsi="Georgia"/>
                <w:sz w:val="22"/>
                <w:szCs w:val="22"/>
                <w:lang w:val="el-GR"/>
              </w:rPr>
            </w:pPr>
            <w:r>
              <w:rPr>
                <w:rFonts w:ascii="Georgia" w:hAnsi="Georgia" w:cs="Times New Roman"/>
                <w:sz w:val="22"/>
                <w:szCs w:val="22"/>
                <w:lang w:val="el-GR"/>
              </w:rPr>
              <w:t>ΓΡΑΦΕΙΟ ΟΙΚΟΝΟΜΙΚΩΝ &amp; ΕΜΠΟΡΙΚΩΝ ΥΠΟΘΕΣΕΩΝ</w:t>
            </w:r>
          </w:p>
        </w:tc>
      </w:tr>
    </w:tbl>
    <w:p w:rsidR="00DB4E24" w:rsidRDefault="001E0D5B">
      <w:pPr>
        <w:spacing w:line="276" w:lineRule="auto"/>
        <w:jc w:val="right"/>
        <w:rPr>
          <w:rFonts w:ascii="Georgia" w:hAnsi="Georgia"/>
          <w:sz w:val="22"/>
          <w:szCs w:val="22"/>
        </w:rPr>
      </w:pPr>
      <w:r>
        <w:rPr>
          <w:rFonts w:ascii="Georgia" w:hAnsi="Georgia"/>
          <w:b/>
          <w:sz w:val="22"/>
          <w:szCs w:val="22"/>
          <w:lang w:val="el-GR"/>
        </w:rPr>
        <w:t>ΑΔΙΑΒΑΘΜΗΤΟ</w:t>
      </w:r>
    </w:p>
    <w:p w:rsidR="00DB4E24" w:rsidRDefault="001E0D5B">
      <w:pPr>
        <w:spacing w:line="276" w:lineRule="auto"/>
        <w:jc w:val="right"/>
        <w:rPr>
          <w:rFonts w:ascii="Georgia" w:hAnsi="Georgia"/>
          <w:sz w:val="22"/>
          <w:szCs w:val="22"/>
        </w:rPr>
      </w:pPr>
      <w:r>
        <w:rPr>
          <w:rFonts w:ascii="Georgia" w:hAnsi="Georgia"/>
          <w:b/>
          <w:sz w:val="22"/>
          <w:szCs w:val="22"/>
          <w:lang w:val="el-GR"/>
        </w:rPr>
        <w:t>ΚΑΝΟΝΙΚΟ</w:t>
      </w:r>
    </w:p>
    <w:tbl>
      <w:tblPr>
        <w:tblW w:w="3392" w:type="dxa"/>
        <w:jc w:val="right"/>
        <w:tblLook w:val="01E0" w:firstRow="1" w:lastRow="1" w:firstColumn="1" w:lastColumn="1" w:noHBand="0" w:noVBand="0"/>
      </w:tblPr>
      <w:tblGrid>
        <w:gridCol w:w="3392"/>
      </w:tblGrid>
      <w:tr w:rsidR="00DB4E24">
        <w:trPr>
          <w:trHeight w:val="585"/>
          <w:jc w:val="right"/>
        </w:trPr>
        <w:tc>
          <w:tcPr>
            <w:tcW w:w="3392" w:type="dxa"/>
          </w:tcPr>
          <w:p w:rsidR="00DB4E24" w:rsidRDefault="00DB4E24">
            <w:pPr>
              <w:spacing w:line="276" w:lineRule="auto"/>
              <w:rPr>
                <w:rFonts w:ascii="Georgia" w:hAnsi="Georgia"/>
                <w:sz w:val="22"/>
                <w:lang w:val="el-GR"/>
              </w:rPr>
            </w:pPr>
          </w:p>
          <w:p w:rsidR="00DB4E24" w:rsidRDefault="001E0D5B">
            <w:pPr>
              <w:spacing w:line="276" w:lineRule="auto"/>
              <w:jc w:val="both"/>
              <w:rPr>
                <w:rFonts w:ascii="Georgia" w:hAnsi="Georgia"/>
                <w:sz w:val="22"/>
              </w:rPr>
            </w:pPr>
            <w:r>
              <w:rPr>
                <w:rFonts w:ascii="Georgia" w:hAnsi="Georgia"/>
                <w:sz w:val="22"/>
                <w:szCs w:val="22"/>
                <w:lang w:val="el-GR"/>
              </w:rPr>
              <w:t xml:space="preserve">20 Φεβρουαρίου </w:t>
            </w:r>
            <w:r>
              <w:rPr>
                <w:rFonts w:ascii="Georgia" w:hAnsi="Georgia"/>
                <w:sz w:val="22"/>
                <w:szCs w:val="22"/>
              </w:rPr>
              <w:t>20</w:t>
            </w:r>
            <w:r>
              <w:rPr>
                <w:rFonts w:ascii="Georgia" w:hAnsi="Georgia"/>
                <w:sz w:val="22"/>
                <w:szCs w:val="22"/>
                <w:lang w:val="el-GR"/>
              </w:rPr>
              <w:t>23</w:t>
            </w:r>
          </w:p>
          <w:p w:rsidR="00DB4E24" w:rsidRDefault="001E0D5B">
            <w:pPr>
              <w:spacing w:line="276" w:lineRule="auto"/>
              <w:rPr>
                <w:rFonts w:ascii="Georgia" w:hAnsi="Georgia"/>
                <w:sz w:val="22"/>
              </w:rPr>
            </w:pP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/320</w:t>
            </w:r>
          </w:p>
          <w:p w:rsidR="00DB4E24" w:rsidRDefault="00DB4E24">
            <w:pPr>
              <w:spacing w:line="276" w:lineRule="auto"/>
              <w:jc w:val="right"/>
              <w:rPr>
                <w:rFonts w:ascii="Georgia" w:hAnsi="Georgia"/>
                <w:sz w:val="22"/>
                <w:lang w:val="el-GR"/>
              </w:rPr>
            </w:pPr>
          </w:p>
        </w:tc>
      </w:tr>
    </w:tbl>
    <w:p w:rsidR="00DB4E24" w:rsidRDefault="00DB4E24">
      <w:pPr>
        <w:spacing w:line="276" w:lineRule="auto"/>
        <w:rPr>
          <w:rFonts w:ascii="Georgia" w:hAnsi="Georgia"/>
          <w:sz w:val="22"/>
          <w:szCs w:val="22"/>
        </w:rPr>
      </w:pPr>
    </w:p>
    <w:tbl>
      <w:tblPr>
        <w:tblW w:w="9495" w:type="dxa"/>
        <w:tblInd w:w="109" w:type="dxa"/>
        <w:tblLook w:val="01E0" w:firstRow="1" w:lastRow="1" w:firstColumn="1" w:lastColumn="1" w:noHBand="0" w:noVBand="0"/>
      </w:tblPr>
      <w:tblGrid>
        <w:gridCol w:w="1165"/>
        <w:gridCol w:w="8330"/>
      </w:tblGrid>
      <w:tr w:rsidR="00DB4E24">
        <w:tc>
          <w:tcPr>
            <w:tcW w:w="1165" w:type="dxa"/>
          </w:tcPr>
          <w:p w:rsidR="00DB4E24" w:rsidRDefault="001E0D5B">
            <w:pPr>
              <w:tabs>
                <w:tab w:val="left" w:pos="0"/>
              </w:tabs>
              <w:spacing w:line="276" w:lineRule="auto"/>
              <w:rPr>
                <w:rFonts w:ascii="Georgia" w:hAnsi="Georgia"/>
                <w:sz w:val="22"/>
              </w:rPr>
            </w:pPr>
            <w:r>
              <w:rPr>
                <w:rFonts w:ascii="Georgia" w:hAnsi="Georgia"/>
                <w:b/>
                <w:sz w:val="22"/>
                <w:szCs w:val="22"/>
                <w:lang w:val="el-GR"/>
              </w:rPr>
              <w:t>ΠΡΟΣ:</w:t>
            </w:r>
          </w:p>
        </w:tc>
        <w:tc>
          <w:tcPr>
            <w:tcW w:w="8329" w:type="dxa"/>
          </w:tcPr>
          <w:p w:rsidR="00DB4E24" w:rsidRDefault="001E0D5B">
            <w:pPr>
              <w:spacing w:line="276" w:lineRule="auto"/>
              <w:jc w:val="both"/>
              <w:rPr>
                <w:rFonts w:ascii="Georgia" w:hAnsi="Georgia"/>
                <w:sz w:val="22"/>
              </w:rPr>
            </w:pPr>
            <w:r>
              <w:rPr>
                <w:rFonts w:ascii="Georgia" w:hAnsi="Georgia"/>
                <w:sz w:val="22"/>
                <w:szCs w:val="22"/>
                <w:lang w:val="el-GR"/>
              </w:rPr>
              <w:t xml:space="preserve">Β4 </w:t>
            </w:r>
            <w:proofErr w:type="spellStart"/>
            <w:r>
              <w:rPr>
                <w:rFonts w:ascii="Georgia" w:hAnsi="Georgia"/>
                <w:sz w:val="22"/>
                <w:szCs w:val="22"/>
                <w:lang w:val="el-GR"/>
              </w:rPr>
              <w:t>Δ/νση</w:t>
            </w:r>
            <w:proofErr w:type="spellEnd"/>
          </w:p>
          <w:p w:rsidR="00DB4E24" w:rsidRDefault="00DB4E24">
            <w:pPr>
              <w:spacing w:line="276" w:lineRule="auto"/>
              <w:jc w:val="both"/>
              <w:rPr>
                <w:rFonts w:ascii="Georgia" w:hAnsi="Georgia"/>
                <w:sz w:val="22"/>
                <w:lang w:val="el-GR"/>
              </w:rPr>
            </w:pPr>
          </w:p>
        </w:tc>
      </w:tr>
      <w:tr w:rsidR="00DB4E24" w:rsidRPr="006B78FD">
        <w:tc>
          <w:tcPr>
            <w:tcW w:w="1165" w:type="dxa"/>
          </w:tcPr>
          <w:p w:rsidR="00DB4E24" w:rsidRDefault="001E0D5B">
            <w:pPr>
              <w:tabs>
                <w:tab w:val="left" w:pos="0"/>
              </w:tabs>
              <w:spacing w:line="276" w:lineRule="auto"/>
              <w:rPr>
                <w:rFonts w:ascii="Georgia" w:hAnsi="Georgia"/>
                <w:sz w:val="22"/>
              </w:rPr>
            </w:pPr>
            <w:r>
              <w:rPr>
                <w:rFonts w:ascii="Georgia" w:hAnsi="Georgia"/>
                <w:b/>
                <w:sz w:val="22"/>
                <w:szCs w:val="22"/>
                <w:lang w:val="el-GR"/>
              </w:rPr>
              <w:t>ΚΟΙΝ.:</w:t>
            </w:r>
          </w:p>
        </w:tc>
        <w:tc>
          <w:tcPr>
            <w:tcW w:w="8329" w:type="dxa"/>
          </w:tcPr>
          <w:p w:rsidR="00DB4E24" w:rsidRDefault="001E0D5B">
            <w:pPr>
              <w:spacing w:line="276" w:lineRule="auto"/>
              <w:jc w:val="both"/>
              <w:rPr>
                <w:rFonts w:ascii="Georgia" w:hAnsi="Georgia"/>
                <w:sz w:val="22"/>
                <w:lang w:val="el-GR"/>
              </w:rPr>
            </w:pPr>
            <w:r>
              <w:rPr>
                <w:rFonts w:ascii="Georgia" w:hAnsi="Georgia"/>
                <w:sz w:val="22"/>
                <w:szCs w:val="22"/>
                <w:lang w:val="el-GR"/>
              </w:rPr>
              <w:t>1. ΥΠ.ΕΞ.</w:t>
            </w:r>
          </w:p>
          <w:p w:rsidR="00DB4E24" w:rsidRDefault="001E0D5B">
            <w:pPr>
              <w:spacing w:line="276" w:lineRule="auto"/>
              <w:jc w:val="both"/>
              <w:rPr>
                <w:rFonts w:ascii="Georgia" w:hAnsi="Georgia"/>
                <w:sz w:val="22"/>
                <w:lang w:val="el-GR"/>
              </w:rPr>
            </w:pPr>
            <w:r>
              <w:rPr>
                <w:rFonts w:ascii="Georgia" w:hAnsi="Georgia"/>
                <w:sz w:val="22"/>
                <w:szCs w:val="22"/>
                <w:lang w:val="el-GR"/>
              </w:rPr>
              <w:t xml:space="preserve">- Δ. Γ. Υφυπουργού </w:t>
            </w:r>
            <w:proofErr w:type="spellStart"/>
            <w:r>
              <w:rPr>
                <w:rFonts w:ascii="Georgia" w:hAnsi="Georgia"/>
                <w:sz w:val="22"/>
                <w:szCs w:val="22"/>
                <w:lang w:val="el-GR"/>
              </w:rPr>
              <w:t>κ.Κ.Φραγκογιάννη</w:t>
            </w:r>
            <w:proofErr w:type="spellEnd"/>
          </w:p>
          <w:p w:rsidR="00DB4E24" w:rsidRDefault="001E0D5B">
            <w:pPr>
              <w:spacing w:line="276" w:lineRule="auto"/>
              <w:jc w:val="both"/>
              <w:rPr>
                <w:rFonts w:ascii="Georgia" w:hAnsi="Georgia"/>
                <w:sz w:val="22"/>
                <w:lang w:val="el-GR"/>
              </w:rPr>
            </w:pPr>
            <w:r>
              <w:rPr>
                <w:rFonts w:ascii="Georgia" w:hAnsi="Georgia"/>
                <w:sz w:val="22"/>
                <w:szCs w:val="22"/>
                <w:lang w:val="el-GR"/>
              </w:rPr>
              <w:t>- Γραφείο κας Γ.Γ. ΔΟΣ και Εξωστρέφειας</w:t>
            </w:r>
          </w:p>
          <w:p w:rsidR="00DB4E24" w:rsidRDefault="001E0D5B">
            <w:pPr>
              <w:spacing w:line="276" w:lineRule="auto"/>
              <w:jc w:val="both"/>
              <w:rPr>
                <w:rFonts w:ascii="Georgia" w:hAnsi="Georgia"/>
                <w:sz w:val="22"/>
                <w:lang w:val="el-GR"/>
              </w:rPr>
            </w:pPr>
            <w:r>
              <w:rPr>
                <w:rFonts w:ascii="Georgia" w:hAnsi="Georgia"/>
                <w:sz w:val="22"/>
                <w:szCs w:val="22"/>
                <w:lang w:val="el-GR"/>
              </w:rPr>
              <w:t>-</w:t>
            </w:r>
            <w:r>
              <w:rPr>
                <w:rFonts w:ascii="Georgia" w:hAnsi="Georgia"/>
                <w:sz w:val="22"/>
                <w:szCs w:val="22"/>
                <w:lang w:val="el-GR"/>
              </w:rPr>
              <w:t xml:space="preserve"> Γραφείο κας </w:t>
            </w:r>
            <w:proofErr w:type="spellStart"/>
            <w:r>
              <w:rPr>
                <w:rFonts w:ascii="Georgia" w:hAnsi="Georgia"/>
                <w:sz w:val="22"/>
                <w:szCs w:val="22"/>
                <w:lang w:val="el-GR"/>
              </w:rPr>
              <w:t>Β΄Γεν</w:t>
            </w:r>
            <w:proofErr w:type="spellEnd"/>
            <w:r>
              <w:rPr>
                <w:rFonts w:ascii="Georgia" w:hAnsi="Georgia"/>
                <w:sz w:val="22"/>
                <w:szCs w:val="22"/>
                <w:lang w:val="el-GR"/>
              </w:rPr>
              <w:t>. Δ/</w:t>
            </w:r>
            <w:proofErr w:type="spellStart"/>
            <w:r>
              <w:rPr>
                <w:rFonts w:ascii="Georgia" w:hAnsi="Georgia"/>
                <w:sz w:val="22"/>
                <w:szCs w:val="22"/>
                <w:lang w:val="el-GR"/>
              </w:rPr>
              <w:t>ντριας</w:t>
            </w:r>
            <w:proofErr w:type="spellEnd"/>
          </w:p>
          <w:p w:rsidR="00DB4E24" w:rsidRPr="006B78FD" w:rsidRDefault="001E0D5B">
            <w:pPr>
              <w:spacing w:line="276" w:lineRule="auto"/>
              <w:jc w:val="both"/>
              <w:rPr>
                <w:rFonts w:ascii="Georgia" w:hAnsi="Georgia"/>
                <w:sz w:val="22"/>
                <w:lang w:val="el-GR"/>
              </w:rPr>
            </w:pPr>
            <w:r>
              <w:rPr>
                <w:rFonts w:ascii="Georgia" w:hAnsi="Georgia"/>
                <w:sz w:val="22"/>
                <w:szCs w:val="22"/>
                <w:lang w:val="el-GR"/>
              </w:rPr>
              <w:t>- Β1, Β2 Δ/</w:t>
            </w:r>
            <w:proofErr w:type="spellStart"/>
            <w:r>
              <w:rPr>
                <w:rFonts w:ascii="Georgia" w:hAnsi="Georgia"/>
                <w:sz w:val="22"/>
                <w:szCs w:val="22"/>
                <w:lang w:val="el-GR"/>
              </w:rPr>
              <w:t>νσεις</w:t>
            </w:r>
            <w:proofErr w:type="spellEnd"/>
          </w:p>
          <w:p w:rsidR="00DB4E24" w:rsidRDefault="00DB4E24">
            <w:pPr>
              <w:spacing w:line="276" w:lineRule="auto"/>
              <w:jc w:val="both"/>
              <w:rPr>
                <w:rFonts w:ascii="Georgia" w:hAnsi="Georgia"/>
                <w:sz w:val="22"/>
                <w:lang w:val="el-GR"/>
              </w:rPr>
            </w:pPr>
          </w:p>
          <w:p w:rsidR="00DB4E24" w:rsidRDefault="001E0D5B">
            <w:pPr>
              <w:spacing w:line="276" w:lineRule="auto"/>
              <w:jc w:val="both"/>
              <w:rPr>
                <w:rFonts w:ascii="Georgia" w:hAnsi="Georgia"/>
                <w:sz w:val="22"/>
                <w:lang w:val="el-GR"/>
              </w:rPr>
            </w:pPr>
            <w:r>
              <w:rPr>
                <w:rFonts w:ascii="Georgia" w:hAnsi="Georgia"/>
                <w:sz w:val="22"/>
                <w:lang w:val="el-GR"/>
              </w:rPr>
              <w:t>2. Σύνδεσμοι-Επιμελητήρια-Φορείς</w:t>
            </w:r>
          </w:p>
          <w:p w:rsidR="00DB4E24" w:rsidRDefault="00DB4E24">
            <w:pPr>
              <w:spacing w:line="276" w:lineRule="auto"/>
              <w:jc w:val="both"/>
              <w:rPr>
                <w:rFonts w:ascii="Georgia" w:hAnsi="Georgia"/>
                <w:sz w:val="22"/>
                <w:lang w:val="el-GR"/>
              </w:rPr>
            </w:pPr>
          </w:p>
          <w:p w:rsidR="00DB4E24" w:rsidRDefault="00DB4E24">
            <w:pPr>
              <w:spacing w:line="276" w:lineRule="auto"/>
              <w:jc w:val="both"/>
              <w:rPr>
                <w:rFonts w:ascii="Georgia" w:hAnsi="Georgia"/>
                <w:sz w:val="22"/>
                <w:lang w:val="el-GR"/>
              </w:rPr>
            </w:pPr>
          </w:p>
        </w:tc>
      </w:tr>
      <w:tr w:rsidR="00DB4E24">
        <w:tc>
          <w:tcPr>
            <w:tcW w:w="1165" w:type="dxa"/>
          </w:tcPr>
          <w:p w:rsidR="00DB4E24" w:rsidRDefault="001E0D5B">
            <w:pPr>
              <w:tabs>
                <w:tab w:val="left" w:pos="0"/>
              </w:tabs>
              <w:spacing w:line="276" w:lineRule="auto"/>
              <w:rPr>
                <w:rFonts w:ascii="Georgia" w:hAnsi="Georgia"/>
                <w:sz w:val="22"/>
              </w:rPr>
            </w:pPr>
            <w:r>
              <w:rPr>
                <w:rFonts w:ascii="Georgia" w:hAnsi="Georgia"/>
                <w:b/>
                <w:sz w:val="22"/>
                <w:szCs w:val="22"/>
                <w:lang w:val="el-GR"/>
              </w:rPr>
              <w:t>Ε.Δ.:</w:t>
            </w:r>
          </w:p>
        </w:tc>
        <w:tc>
          <w:tcPr>
            <w:tcW w:w="8329" w:type="dxa"/>
          </w:tcPr>
          <w:p w:rsidR="00DB4E24" w:rsidRDefault="001E0D5B">
            <w:pPr>
              <w:spacing w:line="276" w:lineRule="auto"/>
              <w:jc w:val="both"/>
              <w:rPr>
                <w:rFonts w:ascii="Georgia" w:hAnsi="Georgia"/>
                <w:sz w:val="22"/>
              </w:rPr>
            </w:pPr>
            <w:r>
              <w:rPr>
                <w:rFonts w:ascii="Georgia" w:hAnsi="Georgia"/>
                <w:sz w:val="22"/>
                <w:szCs w:val="22"/>
                <w:lang w:val="el-GR"/>
              </w:rPr>
              <w:t xml:space="preserve">Γραφείο κας </w:t>
            </w:r>
            <w:proofErr w:type="spellStart"/>
            <w:r>
              <w:rPr>
                <w:rFonts w:ascii="Georgia" w:hAnsi="Georgia"/>
                <w:sz w:val="22"/>
                <w:szCs w:val="22"/>
                <w:lang w:val="el-GR"/>
              </w:rPr>
              <w:t>Πρέσβεως</w:t>
            </w:r>
            <w:proofErr w:type="spellEnd"/>
          </w:p>
          <w:p w:rsidR="00DB4E24" w:rsidRDefault="00DB4E24">
            <w:pPr>
              <w:spacing w:line="276" w:lineRule="auto"/>
              <w:jc w:val="both"/>
              <w:rPr>
                <w:rFonts w:ascii="Georgia" w:hAnsi="Georgia"/>
                <w:b/>
                <w:sz w:val="22"/>
                <w:lang w:val="el-GR"/>
              </w:rPr>
            </w:pPr>
          </w:p>
          <w:p w:rsidR="00DB4E24" w:rsidRDefault="00DB4E24">
            <w:pPr>
              <w:spacing w:line="276" w:lineRule="auto"/>
              <w:jc w:val="both"/>
              <w:rPr>
                <w:rFonts w:ascii="Georgia" w:hAnsi="Georgia"/>
                <w:b/>
                <w:sz w:val="22"/>
                <w:lang w:val="el-GR"/>
              </w:rPr>
            </w:pPr>
          </w:p>
        </w:tc>
      </w:tr>
      <w:tr w:rsidR="00DB4E24" w:rsidRPr="006B78FD">
        <w:tc>
          <w:tcPr>
            <w:tcW w:w="1165" w:type="dxa"/>
          </w:tcPr>
          <w:p w:rsidR="00DB4E24" w:rsidRDefault="001E0D5B">
            <w:pPr>
              <w:tabs>
                <w:tab w:val="left" w:pos="0"/>
              </w:tabs>
              <w:spacing w:line="276" w:lineRule="auto"/>
              <w:rPr>
                <w:rFonts w:ascii="Georgia" w:hAnsi="Georgia"/>
                <w:sz w:val="22"/>
              </w:rPr>
            </w:pPr>
            <w:r>
              <w:rPr>
                <w:rFonts w:ascii="Georgia" w:hAnsi="Georgia"/>
                <w:b/>
                <w:sz w:val="22"/>
                <w:szCs w:val="22"/>
                <w:lang w:val="el-GR"/>
              </w:rPr>
              <w:t>ΘΕΜΑ:</w:t>
            </w:r>
          </w:p>
        </w:tc>
        <w:tc>
          <w:tcPr>
            <w:tcW w:w="8329" w:type="dxa"/>
          </w:tcPr>
          <w:p w:rsidR="00DB4E24" w:rsidRDefault="001E0D5B">
            <w:pPr>
              <w:spacing w:line="276" w:lineRule="auto"/>
              <w:jc w:val="both"/>
              <w:rPr>
                <w:rFonts w:ascii="Georgia" w:hAnsi="Georgia"/>
                <w:sz w:val="22"/>
                <w:lang w:val="el-GR"/>
              </w:rPr>
            </w:pPr>
            <w:r>
              <w:rPr>
                <w:rFonts w:ascii="Georgia" w:hAnsi="Georgia"/>
                <w:b/>
                <w:color w:val="000000"/>
                <w:sz w:val="22"/>
                <w:szCs w:val="22"/>
                <w:lang w:val="el-GR"/>
              </w:rPr>
              <w:t>Στοιχεία Ρουμανικής Αγοράς Κρασιού 2021, η</w:t>
            </w:r>
            <w:r>
              <w:rPr>
                <w:rFonts w:ascii="Georgia" w:hAnsi="Georgia"/>
                <w:b/>
                <w:color w:val="000000"/>
                <w:sz w:val="22"/>
                <w:szCs w:val="22"/>
                <w:lang w:val="el-GR"/>
              </w:rPr>
              <w:t xml:space="preserve"> Ρουμανία 6η μεγαλύτερη ευρωπαϊκή παραγωγός κρασιού το 2022.</w:t>
            </w:r>
          </w:p>
        </w:tc>
      </w:tr>
    </w:tbl>
    <w:p w:rsidR="00DB4E24" w:rsidRDefault="00DB4E24">
      <w:pPr>
        <w:tabs>
          <w:tab w:val="left" w:pos="975"/>
        </w:tabs>
        <w:spacing w:line="276" w:lineRule="auto"/>
        <w:jc w:val="both"/>
        <w:rPr>
          <w:rFonts w:ascii="Georgia" w:hAnsi="Georgia"/>
          <w:sz w:val="22"/>
          <w:szCs w:val="22"/>
          <w:lang w:val="el-GR"/>
        </w:rPr>
      </w:pPr>
    </w:p>
    <w:p w:rsidR="00DB4E24" w:rsidRDefault="001E0D5B">
      <w:pPr>
        <w:tabs>
          <w:tab w:val="left" w:pos="975"/>
        </w:tabs>
        <w:spacing w:line="276" w:lineRule="auto"/>
        <w:jc w:val="both"/>
        <w:rPr>
          <w:lang w:val="el-GR"/>
        </w:rPr>
      </w:pPr>
      <w:r>
        <w:rPr>
          <w:rStyle w:val="-"/>
          <w:rFonts w:ascii="Georgia" w:hAnsi="Georgia"/>
          <w:color w:val="000000"/>
          <w:sz w:val="22"/>
          <w:szCs w:val="22"/>
          <w:lang w:val="el-GR"/>
        </w:rPr>
        <w:t xml:space="preserve">   Σύμφωνα με στοιχεία της </w:t>
      </w:r>
      <w:r>
        <w:rPr>
          <w:rStyle w:val="-"/>
          <w:rFonts w:ascii="Georgia" w:hAnsi="Georgia"/>
          <w:color w:val="000000"/>
          <w:sz w:val="22"/>
          <w:szCs w:val="22"/>
          <w:lang w:val="el-GR"/>
        </w:rPr>
        <w:t xml:space="preserve">πρόσφατης έρευνας της εταιρείας </w:t>
      </w:r>
      <w:proofErr w:type="spellStart"/>
      <w:r>
        <w:rPr>
          <w:rStyle w:val="-"/>
          <w:rFonts w:ascii="Georgia" w:hAnsi="Georgia"/>
          <w:color w:val="000000"/>
          <w:sz w:val="22"/>
          <w:szCs w:val="22"/>
          <w:lang w:val="el-GR"/>
        </w:rPr>
        <w:t>Keysfin</w:t>
      </w:r>
      <w:proofErr w:type="spellEnd"/>
      <w:r>
        <w:rPr>
          <w:rStyle w:val="-"/>
          <w:rFonts w:ascii="Georgia" w:hAnsi="Georgia"/>
          <w:color w:val="000000"/>
          <w:sz w:val="22"/>
          <w:szCs w:val="22"/>
          <w:lang w:val="el-GR"/>
        </w:rPr>
        <w:t xml:space="preserve"> για τις εξελίξεις στην αγορά κρασιού στην Ρουμανία κατά το 2021, προκύπτει ότι ο</w:t>
      </w:r>
      <w:r>
        <w:rPr>
          <w:rStyle w:val="-"/>
          <w:rFonts w:ascii="Georgia" w:hAnsi="Georgia"/>
          <w:color w:val="000000"/>
          <w:sz w:val="22"/>
          <w:szCs w:val="22"/>
          <w:lang w:val="el-GR"/>
        </w:rPr>
        <w:t xml:space="preserve"> κύκλος εργασιών των παραγωγών κρασιού αυξήθηκε πάνω από 20% σε σύγκριση με το 2020, στο υψηλότερο επίπεδο στην ιστορία, φθάνοντας στα 2</w:t>
      </w:r>
      <w:r>
        <w:rPr>
          <w:rStyle w:val="-"/>
          <w:rFonts w:ascii="Georgia" w:hAnsi="Georgia"/>
          <w:color w:val="000000"/>
          <w:sz w:val="22"/>
          <w:szCs w:val="22"/>
          <w:lang w:val="el-GR"/>
        </w:rPr>
        <w:t xml:space="preserve">,1 </w:t>
      </w:r>
      <w:proofErr w:type="spellStart"/>
      <w:r>
        <w:rPr>
          <w:rStyle w:val="-"/>
          <w:rFonts w:ascii="Georgia" w:hAnsi="Georgia"/>
          <w:color w:val="000000"/>
          <w:sz w:val="22"/>
          <w:szCs w:val="22"/>
          <w:lang w:val="el-GR"/>
        </w:rPr>
        <w:t>δισεκ</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λέι</w:t>
      </w:r>
      <w:proofErr w:type="spellEnd"/>
      <w:r>
        <w:rPr>
          <w:rStyle w:val="-"/>
          <w:rFonts w:ascii="Georgia" w:hAnsi="Georgia"/>
          <w:color w:val="000000"/>
          <w:sz w:val="22"/>
          <w:szCs w:val="22"/>
          <w:lang w:val="el-GR"/>
        </w:rPr>
        <w:t xml:space="preserve"> (περίπου 430 </w:t>
      </w:r>
      <w:proofErr w:type="spellStart"/>
      <w:r>
        <w:rPr>
          <w:rStyle w:val="-"/>
          <w:rFonts w:ascii="Georgia" w:hAnsi="Georgia"/>
          <w:color w:val="000000"/>
          <w:sz w:val="22"/>
          <w:szCs w:val="22"/>
          <w:lang w:val="el-GR"/>
        </w:rPr>
        <w:t>εκ.Ευρώ</w:t>
      </w:r>
      <w:proofErr w:type="spellEnd"/>
      <w:r>
        <w:rPr>
          <w:rStyle w:val="-"/>
          <w:rFonts w:ascii="Georgia" w:hAnsi="Georgia"/>
          <w:color w:val="000000"/>
          <w:sz w:val="22"/>
          <w:szCs w:val="22"/>
          <w:lang w:val="el-GR"/>
        </w:rPr>
        <w:t>), ενώ παράλληλα η Ρουμανία κατατάσσεται στην 6η θέση στην Ευρώπη όσον αφορά στην παραγωγή κρασιού, σημειώνοντας αύξηση 4% έναντι του 2020.</w:t>
      </w: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 xml:space="preserve"> Παράλληλα και σύμφωνα με την κα Νταϊάνα </w:t>
      </w:r>
      <w:proofErr w:type="spellStart"/>
      <w:r>
        <w:rPr>
          <w:rStyle w:val="-"/>
          <w:rFonts w:ascii="Georgia" w:hAnsi="Georgia"/>
          <w:color w:val="000000"/>
          <w:sz w:val="22"/>
          <w:szCs w:val="22"/>
          <w:lang w:val="el-GR"/>
        </w:rPr>
        <w:t>Φλοέσκου</w:t>
      </w:r>
      <w:proofErr w:type="spellEnd"/>
      <w:r>
        <w:rPr>
          <w:rStyle w:val="-"/>
          <w:rFonts w:ascii="Georgia" w:hAnsi="Georgia"/>
          <w:color w:val="000000"/>
          <w:sz w:val="22"/>
          <w:szCs w:val="22"/>
          <w:lang w:val="el-GR"/>
        </w:rPr>
        <w:t xml:space="preserve">, οικονομική αναλύτρια της </w:t>
      </w:r>
      <w:proofErr w:type="spellStart"/>
      <w:r>
        <w:rPr>
          <w:rStyle w:val="-"/>
          <w:rFonts w:ascii="Georgia" w:hAnsi="Georgia"/>
          <w:color w:val="000000"/>
          <w:sz w:val="22"/>
          <w:szCs w:val="22"/>
          <w:lang w:val="el-GR"/>
        </w:rPr>
        <w:t>KeysFi</w:t>
      </w:r>
      <w:r>
        <w:rPr>
          <w:rStyle w:val="-"/>
          <w:rFonts w:ascii="Georgia" w:hAnsi="Georgia"/>
          <w:color w:val="000000"/>
          <w:sz w:val="22"/>
          <w:szCs w:val="22"/>
          <w:lang w:val="el-GR"/>
        </w:rPr>
        <w:t>n</w:t>
      </w:r>
      <w:proofErr w:type="spellEnd"/>
      <w:r>
        <w:rPr>
          <w:rStyle w:val="-"/>
          <w:rFonts w:ascii="Georgia" w:hAnsi="Georgia"/>
          <w:color w:val="000000"/>
          <w:sz w:val="22"/>
          <w:szCs w:val="22"/>
          <w:lang w:val="el-GR"/>
        </w:rPr>
        <w:t xml:space="preserve">, «Για το 2022, εκτιμούμε τη συνέχιση της ανάπτυξης της αγοράς κρασιού και την υπέρβαση του ιστορικού μέγιστου που επιτεύχθηκε πέρυσι, σε πάνω από 2,3 δισεκατομμύρια </w:t>
      </w:r>
      <w:proofErr w:type="spellStart"/>
      <w:r>
        <w:rPr>
          <w:rStyle w:val="-"/>
          <w:rFonts w:ascii="Georgia" w:hAnsi="Georgia"/>
          <w:color w:val="000000"/>
          <w:sz w:val="22"/>
          <w:szCs w:val="22"/>
          <w:lang w:val="el-GR"/>
        </w:rPr>
        <w:t>lei</w:t>
      </w:r>
      <w:proofErr w:type="spellEnd"/>
      <w:r>
        <w:rPr>
          <w:rStyle w:val="-"/>
          <w:rFonts w:ascii="Georgia" w:hAnsi="Georgia"/>
          <w:color w:val="000000"/>
          <w:sz w:val="22"/>
          <w:szCs w:val="22"/>
          <w:lang w:val="el-GR"/>
        </w:rPr>
        <w:t xml:space="preserve"> με βάση τα στοιχεία του Διεθνούς Οργανισμού Αμπέλου και Οίνου (OVIS) και τον ετήσιο π</w:t>
      </w:r>
      <w:r>
        <w:rPr>
          <w:rStyle w:val="-"/>
          <w:rFonts w:ascii="Georgia" w:hAnsi="Georgia"/>
          <w:color w:val="000000"/>
          <w:sz w:val="22"/>
          <w:szCs w:val="22"/>
          <w:lang w:val="el-GR"/>
        </w:rPr>
        <w:t>ληθωρισμό σχεδόν 11 % στην περίπτωση του κρασιού, που αναφέρεται από το Εθνικό Ινστιτούτο Στατιστικής».</w:t>
      </w:r>
    </w:p>
    <w:p w:rsidR="00DB4E24" w:rsidRDefault="00DB4E24">
      <w:pPr>
        <w:tabs>
          <w:tab w:val="left" w:pos="975"/>
        </w:tabs>
        <w:spacing w:line="276" w:lineRule="auto"/>
        <w:jc w:val="both"/>
        <w:rPr>
          <w:rStyle w:val="-"/>
          <w:rFonts w:ascii="Georgia" w:hAnsi="Georgia"/>
          <w:color w:val="000000"/>
          <w:sz w:val="22"/>
          <w:szCs w:val="22"/>
          <w:lang w:val="el-GR"/>
        </w:rPr>
      </w:pP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 xml:space="preserve"> Αναλυτικότερα, κατά το 2021, υπήρχαν 611 εταιρείες στη Ρουμανία των οποίων η δραστηριότητα αφορούσε στην παραγωγή κρασιού ή/και στην καλλιέργεια </w:t>
      </w:r>
      <w:r>
        <w:rPr>
          <w:rStyle w:val="-"/>
          <w:rFonts w:ascii="Georgia" w:hAnsi="Georgia"/>
          <w:color w:val="000000"/>
          <w:sz w:val="22"/>
          <w:szCs w:val="22"/>
          <w:lang w:val="el-GR"/>
        </w:rPr>
        <w:t>σταφυλιού (κωδικός CN4 1102 – Παραγωγή κρασιού από σταφύλια και κωδικός CN4 0121 – Καλλιέργεια σταφυλιών), 1% περισσότερες σε σύγκριση με το 2020 και αυξημένες κατά 25% σε σύγκριση με το 2012 .</w:t>
      </w:r>
    </w:p>
    <w:p w:rsidR="00DB4E24" w:rsidRPr="006B78FD" w:rsidRDefault="00DB4E24">
      <w:pPr>
        <w:tabs>
          <w:tab w:val="left" w:pos="975"/>
        </w:tabs>
        <w:spacing w:line="276" w:lineRule="auto"/>
        <w:jc w:val="both"/>
        <w:rPr>
          <w:rFonts w:ascii="Georgia" w:hAnsi="Georgia"/>
          <w:color w:val="000000"/>
          <w:sz w:val="22"/>
          <w:szCs w:val="22"/>
          <w:lang w:val="el-GR"/>
        </w:rPr>
      </w:pP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lastRenderedPageBreak/>
        <w:t xml:space="preserve"> Κατάταξη οινοπαραγωγών. Όσον αφορά στους 5 κορυφαίους τοπικο</w:t>
      </w:r>
      <w:r>
        <w:rPr>
          <w:rStyle w:val="-"/>
          <w:rFonts w:ascii="Georgia" w:hAnsi="Georgia"/>
          <w:color w:val="000000"/>
          <w:sz w:val="22"/>
          <w:szCs w:val="22"/>
          <w:lang w:val="el-GR"/>
        </w:rPr>
        <w:t xml:space="preserve">ύς παραγωγούς κρασιού, ηγέτης της αγοράς παρέμεινε η εταιρεία </w:t>
      </w:r>
      <w:proofErr w:type="spellStart"/>
      <w:r>
        <w:rPr>
          <w:rStyle w:val="-"/>
          <w:rFonts w:ascii="Georgia" w:hAnsi="Georgia"/>
          <w:color w:val="000000"/>
          <w:sz w:val="22"/>
          <w:szCs w:val="22"/>
          <w:lang w:val="el-GR"/>
        </w:rPr>
        <w:t>Cramele</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Recaș</w:t>
      </w:r>
      <w:proofErr w:type="spellEnd"/>
      <w:r>
        <w:rPr>
          <w:rStyle w:val="-"/>
          <w:rFonts w:ascii="Georgia" w:hAnsi="Georgia"/>
          <w:color w:val="000000"/>
          <w:sz w:val="22"/>
          <w:szCs w:val="22"/>
          <w:lang w:val="el-GR"/>
        </w:rPr>
        <w:t xml:space="preserve"> </w:t>
      </w:r>
      <w:hyperlink r:id="rId8">
        <w:r>
          <w:rPr>
            <w:rStyle w:val="-"/>
            <w:rFonts w:ascii="Georgia" w:hAnsi="Georgia"/>
            <w:color w:val="000000"/>
            <w:sz w:val="22"/>
            <w:szCs w:val="22"/>
            <w:lang w:val="el-GR"/>
          </w:rPr>
          <w:t>https://cramelerecas.ro/</w:t>
        </w:r>
      </w:hyperlink>
      <w:r>
        <w:rPr>
          <w:rStyle w:val="-"/>
          <w:rFonts w:ascii="Georgia" w:hAnsi="Georgia"/>
          <w:color w:val="000000"/>
          <w:sz w:val="22"/>
          <w:szCs w:val="22"/>
          <w:lang w:val="el-GR"/>
        </w:rPr>
        <w:t xml:space="preserve">, με μερίδιο 12% του συνόλου και κύκλο εργασιών 252 εκατ. </w:t>
      </w:r>
      <w:proofErr w:type="spellStart"/>
      <w:r>
        <w:rPr>
          <w:rStyle w:val="-"/>
          <w:rFonts w:ascii="Georgia" w:hAnsi="Georgia"/>
          <w:color w:val="000000"/>
          <w:sz w:val="22"/>
          <w:szCs w:val="22"/>
          <w:lang w:val="el-GR"/>
        </w:rPr>
        <w:t>λέι</w:t>
      </w:r>
      <w:proofErr w:type="spellEnd"/>
      <w:r>
        <w:rPr>
          <w:rStyle w:val="-"/>
          <w:rFonts w:ascii="Georgia" w:hAnsi="Georgia"/>
          <w:color w:val="000000"/>
          <w:sz w:val="22"/>
          <w:szCs w:val="22"/>
          <w:lang w:val="el-GR"/>
        </w:rPr>
        <w:t xml:space="preserve"> (περίπου 53 </w:t>
      </w:r>
      <w:proofErr w:type="spellStart"/>
      <w:r>
        <w:rPr>
          <w:rStyle w:val="-"/>
          <w:rFonts w:ascii="Georgia" w:hAnsi="Georgia"/>
          <w:color w:val="000000"/>
          <w:sz w:val="22"/>
          <w:szCs w:val="22"/>
          <w:lang w:val="el-GR"/>
        </w:rPr>
        <w:t>εκ.Ευρώ</w:t>
      </w:r>
      <w:proofErr w:type="spellEnd"/>
      <w:r>
        <w:rPr>
          <w:rStyle w:val="-"/>
          <w:rFonts w:ascii="Georgia" w:hAnsi="Georgia"/>
          <w:color w:val="000000"/>
          <w:sz w:val="22"/>
          <w:szCs w:val="22"/>
          <w:lang w:val="el-GR"/>
        </w:rPr>
        <w:t>), Την κατάταξη συμπληρώνουν οι</w:t>
      </w:r>
      <w:r>
        <w:rPr>
          <w:rStyle w:val="-"/>
          <w:rFonts w:ascii="Georgia" w:hAnsi="Georgia"/>
          <w:color w:val="000000"/>
          <w:sz w:val="22"/>
          <w:szCs w:val="22"/>
          <w:lang w:val="el-GR"/>
        </w:rPr>
        <w:t xml:space="preserve"> εταιρείες: </w:t>
      </w: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w:t>
      </w:r>
      <w:proofErr w:type="spellStart"/>
      <w:r>
        <w:rPr>
          <w:rStyle w:val="-"/>
          <w:rFonts w:ascii="Georgia" w:hAnsi="Georgia"/>
          <w:color w:val="000000"/>
          <w:sz w:val="22"/>
          <w:szCs w:val="22"/>
          <w:lang w:val="el-GR"/>
        </w:rPr>
        <w:t>Jidvei</w:t>
      </w:r>
      <w:proofErr w:type="spellEnd"/>
      <w:r>
        <w:rPr>
          <w:rStyle w:val="-"/>
          <w:rFonts w:ascii="Georgia" w:hAnsi="Georgia"/>
          <w:color w:val="000000"/>
          <w:sz w:val="22"/>
          <w:szCs w:val="22"/>
          <w:lang w:val="el-GR"/>
        </w:rPr>
        <w:t xml:space="preserve">, </w:t>
      </w:r>
      <w:hyperlink r:id="rId9">
        <w:r>
          <w:rPr>
            <w:rStyle w:val="-"/>
            <w:rFonts w:ascii="Georgia" w:hAnsi="Georgia"/>
            <w:color w:val="000000"/>
            <w:sz w:val="22"/>
            <w:szCs w:val="22"/>
            <w:lang w:val="el-GR"/>
          </w:rPr>
          <w:t>www.jidvie.ro</w:t>
        </w:r>
      </w:hyperlink>
      <w:r>
        <w:rPr>
          <w:rStyle w:val="-"/>
          <w:rFonts w:ascii="Georgia" w:hAnsi="Georgia"/>
          <w:color w:val="000000"/>
          <w:sz w:val="22"/>
          <w:szCs w:val="22"/>
          <w:lang w:val="el-GR"/>
        </w:rPr>
        <w:t xml:space="preserve">  με μερίδιο 8,7% του συνόλου και κύκλο εργασιών 36,6 εκατ. </w:t>
      </w:r>
      <w:proofErr w:type="spellStart"/>
      <w:r>
        <w:rPr>
          <w:rStyle w:val="-"/>
          <w:rFonts w:ascii="Georgia" w:hAnsi="Georgia"/>
          <w:color w:val="000000"/>
          <w:sz w:val="22"/>
          <w:szCs w:val="22"/>
          <w:lang w:val="el-GR"/>
        </w:rPr>
        <w:t>λέι</w:t>
      </w:r>
      <w:proofErr w:type="spellEnd"/>
      <w:r>
        <w:rPr>
          <w:rStyle w:val="-"/>
          <w:rFonts w:ascii="Georgia" w:hAnsi="Georgia"/>
          <w:color w:val="000000"/>
          <w:sz w:val="22"/>
          <w:szCs w:val="22"/>
          <w:lang w:val="el-GR"/>
        </w:rPr>
        <w:t xml:space="preserve"> (περίπου 7,7 </w:t>
      </w:r>
      <w:proofErr w:type="spellStart"/>
      <w:r>
        <w:rPr>
          <w:rStyle w:val="-"/>
          <w:rFonts w:ascii="Georgia" w:hAnsi="Georgia"/>
          <w:color w:val="000000"/>
          <w:sz w:val="22"/>
          <w:szCs w:val="22"/>
          <w:lang w:val="el-GR"/>
        </w:rPr>
        <w:t>εκ.Ευρώ</w:t>
      </w:r>
      <w:proofErr w:type="spellEnd"/>
      <w:r>
        <w:rPr>
          <w:rStyle w:val="-"/>
          <w:rFonts w:ascii="Georgia" w:hAnsi="Georgia"/>
          <w:color w:val="000000"/>
          <w:sz w:val="22"/>
          <w:szCs w:val="22"/>
          <w:lang w:val="el-GR"/>
        </w:rPr>
        <w:t xml:space="preserve">), </w:t>
      </w: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w:t>
      </w:r>
      <w:proofErr w:type="spellStart"/>
      <w:r>
        <w:rPr>
          <w:rStyle w:val="-"/>
          <w:rFonts w:ascii="Georgia" w:hAnsi="Georgia"/>
          <w:color w:val="000000"/>
          <w:sz w:val="22"/>
          <w:szCs w:val="22"/>
          <w:lang w:val="el-GR"/>
        </w:rPr>
        <w:t>Cotnari</w:t>
      </w:r>
      <w:proofErr w:type="spellEnd"/>
      <w:r>
        <w:rPr>
          <w:rStyle w:val="-"/>
          <w:rFonts w:ascii="Georgia" w:hAnsi="Georgia"/>
          <w:color w:val="000000"/>
          <w:sz w:val="22"/>
          <w:szCs w:val="22"/>
          <w:lang w:val="el-GR"/>
        </w:rPr>
        <w:t xml:space="preserve"> </w:t>
      </w:r>
      <w:hyperlink r:id="rId10">
        <w:r>
          <w:rPr>
            <w:rStyle w:val="-"/>
            <w:rFonts w:ascii="Georgia" w:hAnsi="Georgia"/>
            <w:color w:val="000000"/>
            <w:sz w:val="22"/>
            <w:szCs w:val="22"/>
            <w:lang w:val="el-GR"/>
          </w:rPr>
          <w:t>https://www.cotnari.ro/en</w:t>
        </w:r>
        <w:r>
          <w:rPr>
            <w:rStyle w:val="-"/>
            <w:rFonts w:ascii="Georgia" w:hAnsi="Georgia"/>
            <w:color w:val="000000"/>
            <w:sz w:val="22"/>
            <w:szCs w:val="22"/>
            <w:lang w:val="el-GR"/>
          </w:rPr>
          <w:t>/homepage-en/</w:t>
        </w:r>
      </w:hyperlink>
      <w:r>
        <w:rPr>
          <w:rStyle w:val="-"/>
          <w:rFonts w:ascii="Georgia" w:hAnsi="Georgia"/>
          <w:color w:val="000000"/>
          <w:sz w:val="22"/>
          <w:szCs w:val="22"/>
          <w:lang w:val="el-GR"/>
        </w:rPr>
        <w:t xml:space="preserve">,  (μερίδιο 7,9% του συνόλου), </w:t>
      </w: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w:t>
      </w:r>
      <w:proofErr w:type="spellStart"/>
      <w:r>
        <w:rPr>
          <w:rStyle w:val="-"/>
          <w:rFonts w:ascii="Georgia" w:hAnsi="Georgia"/>
          <w:color w:val="000000"/>
          <w:sz w:val="22"/>
          <w:szCs w:val="22"/>
          <w:lang w:val="el-GR"/>
        </w:rPr>
        <w:t>Zarea</w:t>
      </w:r>
      <w:proofErr w:type="spellEnd"/>
      <w:r>
        <w:rPr>
          <w:rStyle w:val="-"/>
          <w:rFonts w:ascii="Georgia" w:hAnsi="Georgia"/>
          <w:color w:val="000000"/>
          <w:sz w:val="22"/>
          <w:szCs w:val="22"/>
          <w:lang w:val="el-GR"/>
        </w:rPr>
        <w:t xml:space="preserve">  </w:t>
      </w:r>
      <w:hyperlink r:id="rId11">
        <w:r>
          <w:rPr>
            <w:rStyle w:val="-"/>
            <w:rFonts w:ascii="Georgia" w:hAnsi="Georgia"/>
            <w:color w:val="000000"/>
            <w:sz w:val="22"/>
            <w:szCs w:val="22"/>
            <w:lang w:val="el-GR"/>
          </w:rPr>
          <w:t>https://zarea.ro/</w:t>
        </w:r>
      </w:hyperlink>
      <w:hyperlink>
        <w:r>
          <w:rPr>
            <w:rStyle w:val="-"/>
            <w:rFonts w:ascii="Georgia" w:hAnsi="Georgia"/>
            <w:color w:val="000000"/>
            <w:sz w:val="22"/>
            <w:szCs w:val="22"/>
            <w:lang w:val="el-GR"/>
          </w:rPr>
          <w:t xml:space="preserve"> (7% του συνόλου) </w:t>
        </w:r>
      </w:hyperlink>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 xml:space="preserve">-και η </w:t>
      </w:r>
      <w:proofErr w:type="spellStart"/>
      <w:r>
        <w:rPr>
          <w:rStyle w:val="-"/>
          <w:rFonts w:ascii="Georgia" w:hAnsi="Georgia"/>
          <w:color w:val="000000"/>
          <w:sz w:val="22"/>
          <w:szCs w:val="22"/>
          <w:lang w:val="el-GR"/>
        </w:rPr>
        <w:t>Crama</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Ceptura</w:t>
      </w:r>
      <w:proofErr w:type="spellEnd"/>
      <w:r>
        <w:rPr>
          <w:rStyle w:val="-"/>
          <w:rFonts w:ascii="Georgia" w:hAnsi="Georgia"/>
          <w:color w:val="000000"/>
          <w:sz w:val="22"/>
          <w:szCs w:val="22"/>
          <w:lang w:val="el-GR"/>
        </w:rPr>
        <w:t xml:space="preserve"> </w:t>
      </w:r>
      <w:hyperlink r:id="rId12">
        <w:r>
          <w:rPr>
            <w:rStyle w:val="-"/>
            <w:rFonts w:ascii="Georgia" w:hAnsi="Georgia"/>
            <w:color w:val="000000"/>
            <w:sz w:val="22"/>
            <w:szCs w:val="22"/>
            <w:lang w:val="el-GR"/>
          </w:rPr>
          <w:t>https://www.facebook.com/CramaCeptura/</w:t>
        </w:r>
      </w:hyperlink>
      <w:r>
        <w:rPr>
          <w:rStyle w:val="-"/>
          <w:rFonts w:ascii="Georgia" w:hAnsi="Georgia"/>
          <w:color w:val="000000"/>
          <w:sz w:val="22"/>
          <w:szCs w:val="22"/>
          <w:lang w:val="el-GR"/>
        </w:rPr>
        <w:t xml:space="preserve"> (μερίδιο αγοράς 6,9% το 2021).</w:t>
      </w:r>
    </w:p>
    <w:p w:rsidR="00DB4E24" w:rsidRPr="006B78FD" w:rsidRDefault="00DB4E24">
      <w:pPr>
        <w:tabs>
          <w:tab w:val="left" w:pos="975"/>
        </w:tabs>
        <w:spacing w:line="276" w:lineRule="auto"/>
        <w:jc w:val="both"/>
        <w:rPr>
          <w:rFonts w:ascii="Georgia" w:hAnsi="Georgia"/>
          <w:color w:val="000000"/>
          <w:sz w:val="22"/>
          <w:szCs w:val="22"/>
          <w:lang w:val="el-GR"/>
        </w:rPr>
      </w:pPr>
    </w:p>
    <w:p w:rsidR="00DB4E24" w:rsidRPr="006B78FD" w:rsidRDefault="001E0D5B">
      <w:pPr>
        <w:tabs>
          <w:tab w:val="left" w:pos="975"/>
        </w:tabs>
        <w:spacing w:line="276" w:lineRule="auto"/>
        <w:jc w:val="both"/>
        <w:rPr>
          <w:lang w:val="el-GR"/>
        </w:rPr>
      </w:pPr>
      <w:r>
        <w:rPr>
          <w:rStyle w:val="-"/>
          <w:rFonts w:ascii="Georgia" w:hAnsi="Georgia"/>
          <w:color w:val="000000"/>
          <w:sz w:val="22"/>
          <w:szCs w:val="22"/>
          <w:lang w:val="el-GR"/>
        </w:rPr>
        <w:t xml:space="preserve">  Σημειώνεται επίσης ότι, οι 10 κορυφαίοι παραγωγοί κρασιού στη Ρουμανία είχαν σωρευτικό κύκλο εργασιών σχεδόν 1,2 </w:t>
      </w:r>
      <w:proofErr w:type="spellStart"/>
      <w:r>
        <w:rPr>
          <w:rStyle w:val="-"/>
          <w:rFonts w:ascii="Georgia" w:hAnsi="Georgia"/>
          <w:color w:val="000000"/>
          <w:sz w:val="22"/>
          <w:szCs w:val="22"/>
          <w:lang w:val="el-GR"/>
        </w:rPr>
        <w:t>δισεκ</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λέι</w:t>
      </w:r>
      <w:proofErr w:type="spellEnd"/>
      <w:r>
        <w:rPr>
          <w:rStyle w:val="-"/>
          <w:rFonts w:ascii="Georgia" w:hAnsi="Georgia"/>
          <w:color w:val="000000"/>
          <w:sz w:val="22"/>
          <w:szCs w:val="22"/>
          <w:lang w:val="el-GR"/>
        </w:rPr>
        <w:t>, που αντιπροσώπευε το 56% της αγοράς, ενώ την μεγαλύτερη κε</w:t>
      </w:r>
      <w:r>
        <w:rPr>
          <w:rStyle w:val="-"/>
          <w:rFonts w:ascii="Georgia" w:hAnsi="Georgia"/>
          <w:color w:val="000000"/>
          <w:sz w:val="22"/>
          <w:szCs w:val="22"/>
          <w:lang w:val="el-GR"/>
        </w:rPr>
        <w:t xml:space="preserve">ρδοφορία σημείωσαν οι παρακάτω εταιρείες : </w:t>
      </w:r>
      <w:proofErr w:type="spellStart"/>
      <w:r>
        <w:rPr>
          <w:rStyle w:val="-"/>
          <w:rFonts w:ascii="Georgia" w:hAnsi="Georgia"/>
          <w:color w:val="000000"/>
          <w:sz w:val="22"/>
          <w:szCs w:val="22"/>
          <w:lang w:val="el-GR"/>
        </w:rPr>
        <w:t>Cramele</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Recaș</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Crama</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Ceptura</w:t>
      </w:r>
      <w:proofErr w:type="spellEnd"/>
      <w:r>
        <w:rPr>
          <w:rStyle w:val="-"/>
          <w:rFonts w:ascii="Georgia" w:hAnsi="Georgia"/>
          <w:color w:val="000000"/>
          <w:sz w:val="22"/>
          <w:szCs w:val="22"/>
          <w:lang w:val="el-GR"/>
        </w:rPr>
        <w:t xml:space="preserve"> , </w:t>
      </w:r>
      <w:proofErr w:type="spellStart"/>
      <w:r>
        <w:rPr>
          <w:rStyle w:val="-"/>
          <w:rFonts w:ascii="Georgia" w:hAnsi="Georgia"/>
          <w:color w:val="000000"/>
          <w:sz w:val="22"/>
          <w:szCs w:val="22"/>
          <w:lang w:val="el-GR"/>
        </w:rPr>
        <w:t>Zarea</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Jidvei</w:t>
      </w:r>
      <w:proofErr w:type="spellEnd"/>
      <w:r>
        <w:rPr>
          <w:rStyle w:val="-"/>
          <w:rFonts w:ascii="Georgia" w:hAnsi="Georgia"/>
          <w:color w:val="000000"/>
          <w:sz w:val="22"/>
          <w:szCs w:val="22"/>
          <w:lang w:val="el-GR"/>
        </w:rPr>
        <w:t xml:space="preserve"> και </w:t>
      </w:r>
      <w:proofErr w:type="spellStart"/>
      <w:r>
        <w:rPr>
          <w:rStyle w:val="-"/>
          <w:rFonts w:ascii="Georgia" w:hAnsi="Georgia"/>
          <w:color w:val="000000"/>
          <w:sz w:val="22"/>
          <w:szCs w:val="22"/>
          <w:lang w:val="el-GR"/>
        </w:rPr>
        <w:t>Casa</w:t>
      </w:r>
      <w:proofErr w:type="spellEnd"/>
      <w:r>
        <w:rPr>
          <w:rStyle w:val="-"/>
          <w:rFonts w:ascii="Georgia" w:hAnsi="Georgia"/>
          <w:color w:val="000000"/>
          <w:sz w:val="22"/>
          <w:szCs w:val="22"/>
          <w:lang w:val="el-GR"/>
        </w:rPr>
        <w:t xml:space="preserve"> de </w:t>
      </w:r>
      <w:proofErr w:type="spellStart"/>
      <w:r>
        <w:rPr>
          <w:rStyle w:val="-"/>
          <w:rFonts w:ascii="Georgia" w:hAnsi="Georgia"/>
          <w:color w:val="000000"/>
          <w:sz w:val="22"/>
          <w:szCs w:val="22"/>
          <w:lang w:val="el-GR"/>
        </w:rPr>
        <w:t>vinuri</w:t>
      </w:r>
      <w:proofErr w:type="spellEnd"/>
      <w:r>
        <w:rPr>
          <w:rStyle w:val="-"/>
          <w:rFonts w:ascii="Georgia" w:hAnsi="Georgia"/>
          <w:color w:val="000000"/>
          <w:sz w:val="22"/>
          <w:szCs w:val="22"/>
          <w:lang w:val="el-GR"/>
        </w:rPr>
        <w:t xml:space="preserve"> </w:t>
      </w:r>
      <w:proofErr w:type="spellStart"/>
      <w:r>
        <w:rPr>
          <w:rStyle w:val="-"/>
          <w:rFonts w:ascii="Georgia" w:hAnsi="Georgia"/>
          <w:color w:val="000000"/>
          <w:sz w:val="22"/>
          <w:szCs w:val="22"/>
          <w:lang w:val="el-GR"/>
        </w:rPr>
        <w:t>Cotnari</w:t>
      </w:r>
      <w:proofErr w:type="spellEnd"/>
      <w:r>
        <w:rPr>
          <w:rStyle w:val="-"/>
          <w:rFonts w:ascii="Georgia" w:hAnsi="Georgia"/>
          <w:color w:val="000000"/>
          <w:sz w:val="22"/>
          <w:szCs w:val="22"/>
          <w:lang w:val="el-GR"/>
        </w:rPr>
        <w:t xml:space="preserve"> (στις 5 προαναφερόμενες εταιρείες αντιστοιχεί το περίπου 56% των συνολικών κερδών της αγοράς κατά το 2021).</w:t>
      </w:r>
    </w:p>
    <w:p w:rsidR="00DB4E24" w:rsidRDefault="00DB4E24">
      <w:pPr>
        <w:tabs>
          <w:tab w:val="left" w:pos="975"/>
        </w:tabs>
        <w:spacing w:line="276" w:lineRule="auto"/>
        <w:jc w:val="both"/>
        <w:rPr>
          <w:rStyle w:val="-"/>
          <w:color w:val="000000"/>
          <w:lang w:val="el-GR"/>
        </w:rPr>
      </w:pPr>
    </w:p>
    <w:p w:rsidR="00DB4E24" w:rsidRPr="006B78FD" w:rsidRDefault="001E0D5B">
      <w:pPr>
        <w:tabs>
          <w:tab w:val="left" w:pos="975"/>
        </w:tabs>
        <w:spacing w:line="276" w:lineRule="auto"/>
        <w:jc w:val="both"/>
        <w:rPr>
          <w:rFonts w:ascii="Georgia" w:hAnsi="Georgia"/>
          <w:color w:val="000000"/>
          <w:sz w:val="22"/>
          <w:szCs w:val="22"/>
          <w:lang w:val="el-GR"/>
        </w:rPr>
      </w:pPr>
      <w:r>
        <w:rPr>
          <w:rStyle w:val="-"/>
          <w:rFonts w:ascii="Georgia" w:hAnsi="Georgia"/>
          <w:color w:val="000000"/>
          <w:sz w:val="22"/>
          <w:szCs w:val="22"/>
          <w:lang w:val="el-GR"/>
        </w:rPr>
        <w:t xml:space="preserve">  Όσον αφορά σε στοιχεία κατανάλ</w:t>
      </w:r>
      <w:r>
        <w:rPr>
          <w:rStyle w:val="-"/>
          <w:rFonts w:ascii="Georgia" w:hAnsi="Georgia"/>
          <w:color w:val="000000"/>
          <w:sz w:val="22"/>
          <w:szCs w:val="22"/>
          <w:lang w:val="el-GR"/>
        </w:rPr>
        <w:t>ωσης, αύξηση περίπου 12% κατέγραψε η κατανάλωση κρασιού μετά το τέλος της πανδημίας, με την επαναλειτουργία των εστιατορίων και την επανέναρξη των δημόσιων εκδηλώσεων. Το 2021, ένας Ρουμάνος ήπιε 2,6 λίτρα περισσότερο κρασί σε σύγκριση με το 2020, φτάνοντα</w:t>
      </w:r>
      <w:r>
        <w:rPr>
          <w:rStyle w:val="-"/>
          <w:rFonts w:ascii="Georgia" w:hAnsi="Georgia"/>
          <w:color w:val="000000"/>
          <w:sz w:val="22"/>
          <w:szCs w:val="22"/>
          <w:lang w:val="el-GR"/>
        </w:rPr>
        <w:t>ς σε κατά μέσο όρο κατανάλωσης στα 23,7 λίτρα, σύμφωνα με στοιχεία του Εθνικού Ινστιτούτου Στατιστικής, ενώ σημειώνεται ότι κατά συντριπτική πλειοψηφία οι Ρουμάνοι καταναλωτές προτιμούν το τοπικό κρασί, καθώς πάνω από το 95% της ρουμανικής παραγωγής κρασιο</w:t>
      </w:r>
      <w:r>
        <w:rPr>
          <w:rStyle w:val="-"/>
          <w:rFonts w:ascii="Georgia" w:hAnsi="Georgia"/>
          <w:color w:val="000000"/>
          <w:sz w:val="22"/>
          <w:szCs w:val="22"/>
          <w:lang w:val="el-GR"/>
        </w:rPr>
        <w:t>ύ καταναλώνεται από την εγχώρια αγορά.</w:t>
      </w:r>
    </w:p>
    <w:p w:rsidR="00DB4E24" w:rsidRDefault="00DB4E24">
      <w:pPr>
        <w:tabs>
          <w:tab w:val="left" w:pos="975"/>
        </w:tabs>
        <w:spacing w:line="276" w:lineRule="auto"/>
        <w:jc w:val="both"/>
        <w:rPr>
          <w:rStyle w:val="-"/>
          <w:color w:val="000000"/>
          <w:lang w:val="el-GR"/>
        </w:rPr>
      </w:pPr>
    </w:p>
    <w:p w:rsidR="00DB4E24" w:rsidRPr="006B78FD" w:rsidRDefault="001E0D5B">
      <w:pPr>
        <w:tabs>
          <w:tab w:val="left" w:pos="975"/>
        </w:tabs>
        <w:spacing w:line="276" w:lineRule="auto"/>
        <w:jc w:val="both"/>
        <w:rPr>
          <w:rFonts w:ascii="Georgia" w:hAnsi="Georgia"/>
          <w:color w:val="000000"/>
          <w:sz w:val="22"/>
          <w:szCs w:val="22"/>
          <w:lang w:val="el-GR"/>
        </w:rPr>
      </w:pPr>
      <w:r>
        <w:rPr>
          <w:rStyle w:val="-"/>
          <w:rFonts w:ascii="Georgia" w:hAnsi="Georgia"/>
          <w:color w:val="000000"/>
          <w:sz w:val="22"/>
          <w:szCs w:val="22"/>
          <w:lang w:val="el-GR"/>
        </w:rPr>
        <w:t xml:space="preserve"> Κατά το 2021, η τοπική παραγωγή κρασιού αυξήθηκε κατά 11,5% (+467,8 χιλιάδες </w:t>
      </w:r>
      <w:proofErr w:type="spellStart"/>
      <w:r>
        <w:rPr>
          <w:rStyle w:val="-"/>
          <w:rFonts w:ascii="Georgia" w:hAnsi="Georgia"/>
          <w:color w:val="000000"/>
          <w:sz w:val="22"/>
          <w:szCs w:val="22"/>
          <w:lang w:val="el-GR"/>
        </w:rPr>
        <w:t>hl</w:t>
      </w:r>
      <w:proofErr w:type="spellEnd"/>
      <w:r>
        <w:rPr>
          <w:rStyle w:val="-"/>
          <w:rFonts w:ascii="Georgia" w:hAnsi="Georgia"/>
          <w:color w:val="000000"/>
          <w:sz w:val="22"/>
          <w:szCs w:val="22"/>
          <w:lang w:val="el-GR"/>
        </w:rPr>
        <w:t xml:space="preserve">) σε σύγκριση με το 2020 φθάνοντας στα 4,451 χιλιάδες </w:t>
      </w:r>
      <w:proofErr w:type="spellStart"/>
      <w:r>
        <w:rPr>
          <w:rStyle w:val="-"/>
          <w:rFonts w:ascii="Georgia" w:hAnsi="Georgia"/>
          <w:color w:val="000000"/>
          <w:sz w:val="22"/>
          <w:szCs w:val="22"/>
          <w:lang w:val="el-GR"/>
        </w:rPr>
        <w:t>hl</w:t>
      </w:r>
      <w:proofErr w:type="spellEnd"/>
      <w:r>
        <w:rPr>
          <w:rStyle w:val="-"/>
          <w:rFonts w:ascii="Georgia" w:hAnsi="Georgia"/>
          <w:color w:val="000000"/>
          <w:sz w:val="22"/>
          <w:szCs w:val="22"/>
          <w:lang w:val="el-GR"/>
        </w:rPr>
        <w:t xml:space="preserve">, ενώ οι εξαγωγές κρασιού μειώθηκαν κατά 9,9 χιλιάδες </w:t>
      </w:r>
      <w:proofErr w:type="spellStart"/>
      <w:r>
        <w:rPr>
          <w:rStyle w:val="-"/>
          <w:rFonts w:ascii="Georgia" w:hAnsi="Georgia"/>
          <w:color w:val="000000"/>
          <w:sz w:val="22"/>
          <w:szCs w:val="22"/>
          <w:lang w:val="el-GR"/>
        </w:rPr>
        <w:t>hl</w:t>
      </w:r>
      <w:proofErr w:type="spellEnd"/>
      <w:r>
        <w:rPr>
          <w:rStyle w:val="-"/>
          <w:rFonts w:ascii="Georgia" w:hAnsi="Georgia"/>
          <w:color w:val="000000"/>
          <w:sz w:val="22"/>
          <w:szCs w:val="22"/>
          <w:lang w:val="el-GR"/>
        </w:rPr>
        <w:t xml:space="preserve"> σε σύγκριση με το προηγ</w:t>
      </w:r>
      <w:r>
        <w:rPr>
          <w:rStyle w:val="-"/>
          <w:rFonts w:ascii="Georgia" w:hAnsi="Georgia"/>
          <w:color w:val="000000"/>
          <w:sz w:val="22"/>
          <w:szCs w:val="22"/>
          <w:lang w:val="el-GR"/>
        </w:rPr>
        <w:t xml:space="preserve">ούμενο έτος, φθάνοντας στις 189 χιλιάδες </w:t>
      </w:r>
      <w:proofErr w:type="spellStart"/>
      <w:r>
        <w:rPr>
          <w:rStyle w:val="-"/>
          <w:rFonts w:ascii="Georgia" w:hAnsi="Georgia"/>
          <w:color w:val="000000"/>
          <w:sz w:val="22"/>
          <w:szCs w:val="22"/>
          <w:lang w:val="el-GR"/>
        </w:rPr>
        <w:t>hl</w:t>
      </w:r>
      <w:proofErr w:type="spellEnd"/>
      <w:r>
        <w:rPr>
          <w:rStyle w:val="-"/>
          <w:rFonts w:ascii="Georgia" w:hAnsi="Georgia"/>
          <w:color w:val="000000"/>
          <w:sz w:val="22"/>
          <w:szCs w:val="22"/>
          <w:lang w:val="el-GR"/>
        </w:rPr>
        <w:t xml:space="preserve"> το 2021 (ποσοστό εξαγωγών/παραγωγής 4%), σύμφωνα με σε στοιχεία που παρέχονται από το Εθνικό Ινστιτούτο Στατιστικής.</w:t>
      </w:r>
    </w:p>
    <w:p w:rsidR="00DB4E24" w:rsidRPr="006B78FD" w:rsidRDefault="00DB4E24">
      <w:pPr>
        <w:tabs>
          <w:tab w:val="left" w:pos="975"/>
        </w:tabs>
        <w:spacing w:line="276" w:lineRule="auto"/>
        <w:jc w:val="both"/>
        <w:rPr>
          <w:rFonts w:ascii="Georgia" w:hAnsi="Georgia"/>
          <w:color w:val="000000"/>
          <w:sz w:val="22"/>
          <w:szCs w:val="22"/>
          <w:lang w:val="el-GR"/>
        </w:rPr>
      </w:pPr>
    </w:p>
    <w:p w:rsidR="00DB4E24" w:rsidRPr="006B78FD" w:rsidRDefault="001E0D5B">
      <w:pPr>
        <w:tabs>
          <w:tab w:val="left" w:pos="975"/>
        </w:tabs>
        <w:spacing w:line="276" w:lineRule="auto"/>
        <w:jc w:val="both"/>
        <w:rPr>
          <w:rFonts w:ascii="Georgia" w:hAnsi="Georgia"/>
          <w:color w:val="000000"/>
          <w:sz w:val="22"/>
          <w:szCs w:val="22"/>
          <w:lang w:val="el-GR"/>
        </w:rPr>
      </w:pPr>
      <w:r w:rsidRPr="006B78FD">
        <w:rPr>
          <w:rFonts w:ascii="Georgia" w:hAnsi="Georgia"/>
          <w:color w:val="000000"/>
          <w:sz w:val="22"/>
          <w:szCs w:val="22"/>
          <w:lang w:val="el-GR"/>
        </w:rPr>
        <w:t xml:space="preserve">  Τέλος και σύμφωνα με εκτιμήσεις του Διεθνούς Οργανισμού Αμπέλου και Οίνου, η Ρουμανία παραμέ</w:t>
      </w:r>
      <w:r w:rsidRPr="006B78FD">
        <w:rPr>
          <w:rFonts w:ascii="Georgia" w:hAnsi="Georgia"/>
          <w:color w:val="000000"/>
          <w:sz w:val="22"/>
          <w:szCs w:val="22"/>
          <w:lang w:val="el-GR"/>
        </w:rPr>
        <w:t>νει ο 6ος μεγαλύτερος ευρωπαίος παραγωγός κρασιού, με 4,5 εκατ. εκατόλιτρα, μετά από άνοδο περίπου 4% το 2022, με το μέγεθος της αγοράς παγκοσμίως να υπολογίζεται σε 260 εκατ. εκατόλιτρα, και ελαφρά μείωση του όγκου κατά 1% σε σχέση με το 2021. Παράλληλα κ</w:t>
      </w:r>
      <w:r w:rsidRPr="006B78FD">
        <w:rPr>
          <w:rFonts w:ascii="Georgia" w:hAnsi="Georgia"/>
          <w:color w:val="000000"/>
          <w:sz w:val="22"/>
          <w:szCs w:val="22"/>
          <w:lang w:val="el-GR"/>
        </w:rPr>
        <w:t>αι όσον αφορά στην Ευρωπαϊκή Ένωση, ο όγκος της παραγωγής κρασιού εκτιμάται σε 157 εκατ. εκατόλιτρα για το 2022, 2% πάνω από το επίπεδο του 2021, με την Ιταλία να παραμένει ο μεγαλύτερος παραγωγός κρασιού στην ΕΕ αφού διατήρησε το επίπεδο των 50,3 εκατ. εκ</w:t>
      </w:r>
      <w:r w:rsidRPr="006B78FD">
        <w:rPr>
          <w:rFonts w:ascii="Georgia" w:hAnsi="Georgia"/>
          <w:color w:val="000000"/>
          <w:sz w:val="22"/>
          <w:szCs w:val="22"/>
          <w:lang w:val="el-GR"/>
        </w:rPr>
        <w:t xml:space="preserve">ατόλιτρων, την Γαλλία να εδραιώνει τη δεύτερη θέση μετά από αύξηση 17% στα 44,2 εκατ. εκατόλιτρα και την Ισπανία να κλείνει την κατάταξη των 3 πρώτων θέσεων, με 33 εκατ. εκατόλιτρα, μετά από μείωση 6% σε 2022. </w:t>
      </w:r>
    </w:p>
    <w:p w:rsidR="00DB4E24" w:rsidRDefault="00DB4E24">
      <w:pPr>
        <w:tabs>
          <w:tab w:val="left" w:pos="975"/>
        </w:tabs>
        <w:spacing w:line="276" w:lineRule="auto"/>
        <w:jc w:val="both"/>
        <w:rPr>
          <w:rStyle w:val="-"/>
          <w:rFonts w:ascii="Georgia" w:hAnsi="Georgia"/>
          <w:color w:val="000000"/>
          <w:sz w:val="22"/>
          <w:szCs w:val="22"/>
          <w:lang w:val="el-GR"/>
        </w:rPr>
      </w:pPr>
    </w:p>
    <w:p w:rsidR="00DB4E24" w:rsidRDefault="00DB4E24">
      <w:pPr>
        <w:tabs>
          <w:tab w:val="left" w:pos="975"/>
        </w:tabs>
        <w:spacing w:line="276" w:lineRule="auto"/>
        <w:jc w:val="both"/>
        <w:rPr>
          <w:rStyle w:val="-"/>
          <w:rFonts w:ascii="Georgia" w:hAnsi="Georgia"/>
          <w:color w:val="000000"/>
          <w:sz w:val="22"/>
          <w:szCs w:val="22"/>
          <w:lang w:val="el-GR"/>
        </w:rPr>
      </w:pPr>
    </w:p>
    <w:tbl>
      <w:tblPr>
        <w:tblW w:w="3600" w:type="dxa"/>
        <w:tblInd w:w="5509" w:type="dxa"/>
        <w:tblLook w:val="01E0" w:firstRow="1" w:lastRow="1" w:firstColumn="1" w:lastColumn="1" w:noHBand="0" w:noVBand="0"/>
      </w:tblPr>
      <w:tblGrid>
        <w:gridCol w:w="3600"/>
      </w:tblGrid>
      <w:tr w:rsidR="00DB4E24">
        <w:tc>
          <w:tcPr>
            <w:tcW w:w="3600" w:type="dxa"/>
          </w:tcPr>
          <w:p w:rsidR="00DB4E24" w:rsidRDefault="001E0D5B">
            <w:pPr>
              <w:spacing w:line="276" w:lineRule="auto"/>
              <w:jc w:val="center"/>
              <w:rPr>
                <w:rFonts w:ascii="Georgia" w:hAnsi="Georgia"/>
                <w:sz w:val="22"/>
              </w:rPr>
            </w:pPr>
            <w:r>
              <w:rPr>
                <w:rFonts w:ascii="Georgia" w:hAnsi="Georgia"/>
                <w:sz w:val="22"/>
                <w:szCs w:val="22"/>
                <w:lang w:val="el-GR"/>
              </w:rPr>
              <w:t>Ο Δ/</w:t>
            </w:r>
            <w:proofErr w:type="spellStart"/>
            <w:r>
              <w:rPr>
                <w:rFonts w:ascii="Georgia" w:hAnsi="Georgia"/>
                <w:sz w:val="22"/>
                <w:szCs w:val="22"/>
                <w:lang w:val="el-GR"/>
              </w:rPr>
              <w:t>νων</w:t>
            </w:r>
            <w:proofErr w:type="spellEnd"/>
          </w:p>
          <w:p w:rsidR="00DB4E24" w:rsidRDefault="00DB4E24">
            <w:pPr>
              <w:spacing w:line="276" w:lineRule="auto"/>
              <w:rPr>
                <w:rFonts w:ascii="Georgia" w:hAnsi="Georgia"/>
                <w:sz w:val="22"/>
                <w:lang w:val="el-GR"/>
              </w:rPr>
            </w:pPr>
          </w:p>
        </w:tc>
      </w:tr>
      <w:tr w:rsidR="00DB4E24">
        <w:tc>
          <w:tcPr>
            <w:tcW w:w="3600" w:type="dxa"/>
          </w:tcPr>
          <w:p w:rsidR="00DB4E24" w:rsidRDefault="001E0D5B">
            <w:pPr>
              <w:spacing w:line="276" w:lineRule="auto"/>
              <w:jc w:val="center"/>
              <w:rPr>
                <w:rFonts w:ascii="Georgia" w:hAnsi="Georgia"/>
                <w:sz w:val="22"/>
              </w:rPr>
            </w:pPr>
            <w:r>
              <w:rPr>
                <w:rFonts w:ascii="Georgia" w:hAnsi="Georgia"/>
                <w:sz w:val="22"/>
                <w:szCs w:val="22"/>
                <w:lang w:val="el-GR"/>
              </w:rPr>
              <w:t>Παντελής Γιαννούλης</w:t>
            </w:r>
          </w:p>
        </w:tc>
      </w:tr>
      <w:tr w:rsidR="00DB4E24">
        <w:tc>
          <w:tcPr>
            <w:tcW w:w="3600" w:type="dxa"/>
          </w:tcPr>
          <w:p w:rsidR="00DB4E24" w:rsidRDefault="001E0D5B">
            <w:pPr>
              <w:spacing w:line="276" w:lineRule="auto"/>
              <w:jc w:val="center"/>
              <w:rPr>
                <w:rFonts w:ascii="Georgia" w:hAnsi="Georgia"/>
                <w:sz w:val="22"/>
              </w:rPr>
            </w:pPr>
            <w:r>
              <w:rPr>
                <w:rFonts w:ascii="Georgia" w:hAnsi="Georgia"/>
                <w:sz w:val="22"/>
                <w:szCs w:val="22"/>
                <w:lang w:val="el-GR"/>
              </w:rPr>
              <w:t xml:space="preserve">Σύμβουλος </w:t>
            </w:r>
            <w:r>
              <w:rPr>
                <w:rFonts w:ascii="Georgia" w:hAnsi="Georgia"/>
                <w:sz w:val="22"/>
                <w:szCs w:val="22"/>
                <w:lang w:val="el-GR"/>
              </w:rPr>
              <w:t>ΟΕΥ Α΄</w:t>
            </w:r>
          </w:p>
        </w:tc>
      </w:tr>
    </w:tbl>
    <w:p w:rsidR="00DB4E24" w:rsidRDefault="00DB4E24">
      <w:pPr>
        <w:spacing w:line="276" w:lineRule="auto"/>
        <w:rPr>
          <w:rFonts w:ascii="Georgia" w:hAnsi="Georgia"/>
          <w:sz w:val="22"/>
          <w:szCs w:val="22"/>
        </w:rPr>
      </w:pPr>
    </w:p>
    <w:sectPr w:rsidR="00DB4E24">
      <w:footerReference w:type="default" r:id="rId13"/>
      <w:pgSz w:w="11906" w:h="16838"/>
      <w:pgMar w:top="540" w:right="1106" w:bottom="1080" w:left="126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D5B" w:rsidRDefault="001E0D5B">
      <w:r>
        <w:separator/>
      </w:r>
    </w:p>
  </w:endnote>
  <w:endnote w:type="continuationSeparator" w:id="0">
    <w:p w:rsidR="001E0D5B" w:rsidRDefault="001E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E24" w:rsidRDefault="00DB4E24">
    <w:pPr>
      <w:pStyle w:val="a5"/>
      <w:rPr>
        <w:color w:val="A6A6A6" w:themeColor="background1" w:themeShade="A6"/>
      </w:rPr>
    </w:pPr>
  </w:p>
  <w:p w:rsidR="00DB4E24" w:rsidRDefault="001E0D5B">
    <w:pPr>
      <w:pStyle w:val="a5"/>
      <w:jc w:val="center"/>
      <w:rPr>
        <w:i/>
        <w:color w:val="A6A6A6" w:themeColor="background1" w:themeShade="A6"/>
        <w:sz w:val="20"/>
        <w:szCs w:val="20"/>
      </w:rPr>
    </w:pPr>
    <w:proofErr w:type="spellStart"/>
    <w:r>
      <w:rPr>
        <w:i/>
        <w:color w:val="A6A6A6" w:themeColor="background1" w:themeShade="A6"/>
        <w:sz w:val="20"/>
        <w:szCs w:val="20"/>
      </w:rPr>
      <w:t>PacheProtopopescu</w:t>
    </w:r>
    <w:proofErr w:type="spellEnd"/>
    <w:r>
      <w:rPr>
        <w:i/>
        <w:color w:val="A6A6A6" w:themeColor="background1" w:themeShade="A6"/>
        <w:sz w:val="20"/>
        <w:szCs w:val="20"/>
      </w:rPr>
      <w:t xml:space="preserve"> 1-3, Sector 2, Bucharest</w:t>
    </w:r>
  </w:p>
  <w:p w:rsidR="00DB4E24" w:rsidRDefault="001E0D5B">
    <w:pPr>
      <w:pStyle w:val="a5"/>
      <w:jc w:val="center"/>
      <w:rPr>
        <w:i/>
        <w:color w:val="A6A6A6" w:themeColor="background1" w:themeShade="A6"/>
        <w:sz w:val="20"/>
        <w:szCs w:val="20"/>
        <w:lang w:val="it-IT"/>
      </w:rPr>
    </w:pPr>
    <w:proofErr w:type="spellStart"/>
    <w:r>
      <w:rPr>
        <w:i/>
        <w:color w:val="A6A6A6" w:themeColor="background1" w:themeShade="A6"/>
        <w:sz w:val="20"/>
        <w:szCs w:val="20"/>
        <w:lang w:val="el-GR"/>
      </w:rPr>
      <w:t>Τηλ</w:t>
    </w:r>
    <w:proofErr w:type="spellEnd"/>
    <w:r>
      <w:rPr>
        <w:i/>
        <w:color w:val="A6A6A6" w:themeColor="background1" w:themeShade="A6"/>
        <w:sz w:val="20"/>
        <w:szCs w:val="20"/>
      </w:rPr>
      <w:t>.</w:t>
    </w:r>
    <w:r>
      <w:rPr>
        <w:i/>
        <w:color w:val="A6A6A6" w:themeColor="background1" w:themeShade="A6"/>
        <w:sz w:val="20"/>
        <w:szCs w:val="20"/>
        <w:lang w:val="it-IT"/>
      </w:rPr>
      <w:t>: +40-21-2100748,2115724, Fax: +40-21-2119893</w:t>
    </w:r>
  </w:p>
  <w:p w:rsidR="00DB4E24" w:rsidRDefault="001E0D5B">
    <w:pPr>
      <w:pStyle w:val="a5"/>
      <w:jc w:val="center"/>
      <w:rPr>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
          <w:i/>
          <w:color w:val="A6A6A6" w:themeColor="background1" w:themeShade="A6"/>
          <w:sz w:val="20"/>
          <w:szCs w:val="20"/>
        </w:rPr>
        <w:t>www.agora.mfa.gr</w:t>
      </w:r>
    </w:hyperlink>
  </w:p>
  <w:p w:rsidR="00DB4E24" w:rsidRDefault="00DB4E24">
    <w:pPr>
      <w:pStyle w:val="a5"/>
      <w:jc w:val="center"/>
      <w:rPr>
        <w:i/>
        <w:sz w:val="20"/>
        <w:szCs w:val="20"/>
        <w:lang w:val="en-GB"/>
      </w:rPr>
    </w:pPr>
  </w:p>
  <w:p w:rsidR="00DB4E24" w:rsidRDefault="00DB4E24">
    <w:pPr>
      <w:pStyle w:val="a5"/>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D5B" w:rsidRDefault="001E0D5B">
      <w:r>
        <w:separator/>
      </w:r>
    </w:p>
  </w:footnote>
  <w:footnote w:type="continuationSeparator" w:id="0">
    <w:p w:rsidR="001E0D5B" w:rsidRDefault="001E0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24"/>
    <w:rsid w:val="001E0D5B"/>
    <w:rsid w:val="006B78FD"/>
    <w:rsid w:val="00DB4E2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58428-6E21-4A05-8BC1-5209687D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3"/>
    <w:rPr>
      <w:sz w:val="24"/>
      <w:szCs w:val="24"/>
    </w:rPr>
  </w:style>
  <w:style w:type="paragraph" w:styleId="1">
    <w:name w:val="heading 1"/>
    <w:basedOn w:val="a"/>
    <w:next w:val="a"/>
    <w:link w:val="1Char"/>
    <w:uiPriority w:val="99"/>
    <w:qFormat/>
    <w:rsid w:val="00747973"/>
    <w:pPr>
      <w:keepNext/>
      <w:spacing w:before="240" w:after="60"/>
      <w:outlineLvl w:val="0"/>
    </w:pPr>
    <w:rPr>
      <w:rFonts w:ascii="Arial" w:hAnsi="Arial" w:cs="Arial"/>
      <w:b/>
      <w:bCs/>
      <w:kern w:val="2"/>
      <w:sz w:val="32"/>
      <w:szCs w:val="32"/>
    </w:rPr>
  </w:style>
  <w:style w:type="paragraph" w:styleId="2">
    <w:name w:val="heading 2"/>
    <w:basedOn w:val="a"/>
    <w:next w:val="a"/>
    <w:link w:val="2Char"/>
    <w:semiHidden/>
    <w:unhideWhenUsed/>
    <w:qFormat/>
    <w:locked/>
    <w:rsid w:val="00216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locked/>
    <w:rsid w:val="0021604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qFormat/>
    <w:locked/>
    <w:rsid w:val="00747973"/>
    <w:rPr>
      <w:rFonts w:ascii="Arial" w:hAnsi="Arial" w:cs="Arial"/>
      <w:b/>
      <w:bCs/>
      <w:kern w:val="2"/>
      <w:sz w:val="32"/>
      <w:szCs w:val="32"/>
      <w:lang w:val="en-US" w:eastAsia="en-US" w:bidi="ar-SA"/>
    </w:rPr>
  </w:style>
  <w:style w:type="character" w:styleId="-">
    <w:name w:val="Hyperlink"/>
    <w:basedOn w:val="a0"/>
    <w:uiPriority w:val="99"/>
    <w:rsid w:val="00747973"/>
    <w:rPr>
      <w:rFonts w:cs="Times New Roman"/>
      <w:color w:val="0000FF"/>
      <w:u w:val="none"/>
      <w:effect w:val="none"/>
    </w:rPr>
  </w:style>
  <w:style w:type="character" w:customStyle="1" w:styleId="Char">
    <w:name w:val="Κείμενο πλαισίου Char"/>
    <w:basedOn w:val="a0"/>
    <w:link w:val="a3"/>
    <w:uiPriority w:val="99"/>
    <w:semiHidden/>
    <w:qFormat/>
    <w:locked/>
    <w:rsid w:val="00A13978"/>
    <w:rPr>
      <w:rFonts w:cs="Times New Roman"/>
      <w:sz w:val="2"/>
    </w:rPr>
  </w:style>
  <w:style w:type="character" w:styleId="a4">
    <w:name w:val="Emphasis"/>
    <w:basedOn w:val="a0"/>
    <w:uiPriority w:val="20"/>
    <w:qFormat/>
    <w:locked/>
    <w:rsid w:val="00EB1D3A"/>
    <w:rPr>
      <w:i/>
      <w:iCs/>
    </w:rPr>
  </w:style>
  <w:style w:type="character" w:customStyle="1" w:styleId="st">
    <w:name w:val="st"/>
    <w:basedOn w:val="a0"/>
    <w:qFormat/>
    <w:rsid w:val="00AB4B94"/>
  </w:style>
  <w:style w:type="character" w:customStyle="1" w:styleId="Char1">
    <w:name w:val="Υποσέλιδο Char1"/>
    <w:basedOn w:val="a0"/>
    <w:link w:val="a5"/>
    <w:uiPriority w:val="99"/>
    <w:qFormat/>
    <w:rsid w:val="00ED567B"/>
    <w:rPr>
      <w:sz w:val="24"/>
      <w:szCs w:val="24"/>
    </w:rPr>
  </w:style>
  <w:style w:type="character" w:customStyle="1" w:styleId="Char0">
    <w:name w:val="Υποσέλιδο Char"/>
    <w:basedOn w:val="a0"/>
    <w:uiPriority w:val="99"/>
    <w:qFormat/>
    <w:rsid w:val="00ED567B"/>
    <w:rPr>
      <w:sz w:val="24"/>
      <w:szCs w:val="24"/>
    </w:rPr>
  </w:style>
  <w:style w:type="character" w:customStyle="1" w:styleId="2Char">
    <w:name w:val="Επικεφαλίδα 2 Char"/>
    <w:basedOn w:val="a0"/>
    <w:link w:val="2"/>
    <w:semiHidden/>
    <w:qFormat/>
    <w:rsid w:val="0021604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semiHidden/>
    <w:qFormat/>
    <w:rsid w:val="0021604B"/>
    <w:rPr>
      <w:rFonts w:asciiTheme="majorHAnsi" w:eastAsiaTheme="majorEastAsia" w:hAnsiTheme="majorHAnsi" w:cstheme="majorBidi"/>
      <w:b/>
      <w:bCs/>
      <w:color w:val="4F81BD" w:themeColor="accent1"/>
      <w:sz w:val="24"/>
      <w:szCs w:val="24"/>
    </w:rPr>
  </w:style>
  <w:style w:type="character" w:styleId="a6">
    <w:name w:val="Strong"/>
    <w:basedOn w:val="a0"/>
    <w:uiPriority w:val="99"/>
    <w:qFormat/>
    <w:locked/>
    <w:rsid w:val="0021604B"/>
    <w:rPr>
      <w:b/>
      <w:bCs/>
    </w:rPr>
  </w:style>
  <w:style w:type="character" w:customStyle="1" w:styleId="muted">
    <w:name w:val="muted"/>
    <w:basedOn w:val="a0"/>
    <w:qFormat/>
    <w:rsid w:val="0021604B"/>
  </w:style>
  <w:style w:type="character" w:customStyle="1" w:styleId="-HTMLChar">
    <w:name w:val="Προ-διαμορφωμένο HTML Char"/>
    <w:basedOn w:val="a0"/>
    <w:uiPriority w:val="99"/>
    <w:semiHidden/>
    <w:qFormat/>
    <w:rsid w:val="001A2FA4"/>
    <w:rPr>
      <w:rFonts w:ascii="Courier New" w:hAnsi="Courier New" w:cs="Courier New"/>
      <w:sz w:val="20"/>
      <w:szCs w:val="20"/>
      <w:lang w:val="en-GB" w:eastAsia="en-GB"/>
    </w:rPr>
  </w:style>
  <w:style w:type="character" w:customStyle="1" w:styleId="StrongEmphasis">
    <w:name w:val="Strong Emphasis"/>
    <w:qFormat/>
    <w:rsid w:val="00E64D07"/>
    <w:rPr>
      <w:b/>
      <w:bCs/>
    </w:rPr>
  </w:style>
  <w:style w:type="character" w:customStyle="1" w:styleId="NumberingSymbols">
    <w:name w:val="Numbering Symbols"/>
    <w:qFormat/>
    <w:rsid w:val="00E64D07"/>
  </w:style>
  <w:style w:type="character" w:customStyle="1" w:styleId="Bullets">
    <w:name w:val="Bullets"/>
    <w:qFormat/>
    <w:rsid w:val="00E64D07"/>
    <w:rPr>
      <w:rFonts w:ascii="OpenSymbol" w:eastAsia="OpenSymbol" w:hAnsi="OpenSymbol" w:cs="OpenSymbol"/>
    </w:rPr>
  </w:style>
  <w:style w:type="paragraph" w:customStyle="1" w:styleId="Heading">
    <w:name w:val="Heading"/>
    <w:basedOn w:val="a"/>
    <w:next w:val="a7"/>
    <w:qFormat/>
    <w:rsid w:val="00BC2764"/>
    <w:pPr>
      <w:keepNext/>
      <w:spacing w:before="240" w:after="120"/>
    </w:pPr>
    <w:rPr>
      <w:rFonts w:ascii="Liberation Sans" w:eastAsia="Noto Sans CJK SC" w:hAnsi="Liberation Sans" w:cs="Lohit Devanagari"/>
      <w:sz w:val="28"/>
      <w:szCs w:val="28"/>
    </w:rPr>
  </w:style>
  <w:style w:type="paragraph" w:styleId="a7">
    <w:name w:val="Body Text"/>
    <w:basedOn w:val="a"/>
    <w:rsid w:val="00BC2764"/>
    <w:pPr>
      <w:spacing w:after="140" w:line="276" w:lineRule="auto"/>
    </w:pPr>
  </w:style>
  <w:style w:type="paragraph" w:styleId="a8">
    <w:name w:val="List"/>
    <w:basedOn w:val="a7"/>
    <w:rsid w:val="00BC2764"/>
    <w:rPr>
      <w:rFonts w:cs="Lohit Devanagari"/>
    </w:rPr>
  </w:style>
  <w:style w:type="paragraph" w:styleId="a9">
    <w:name w:val="caption"/>
    <w:basedOn w:val="a"/>
    <w:qFormat/>
    <w:rsid w:val="00BC2764"/>
    <w:pPr>
      <w:suppressLineNumbers/>
      <w:spacing w:before="120" w:after="120"/>
    </w:pPr>
    <w:rPr>
      <w:rFonts w:cs="Lohit Devanagari"/>
      <w:i/>
      <w:iCs/>
    </w:rPr>
  </w:style>
  <w:style w:type="paragraph" w:customStyle="1" w:styleId="Index">
    <w:name w:val="Index"/>
    <w:basedOn w:val="a"/>
    <w:qFormat/>
    <w:rsid w:val="00BC2764"/>
    <w:pPr>
      <w:suppressLineNumbers/>
    </w:pPr>
    <w:rPr>
      <w:rFonts w:cs="Lohit Devanagari"/>
    </w:rPr>
  </w:style>
  <w:style w:type="paragraph" w:styleId="a3">
    <w:name w:val="Balloon Text"/>
    <w:basedOn w:val="a"/>
    <w:link w:val="Char"/>
    <w:uiPriority w:val="99"/>
    <w:semiHidden/>
    <w:qFormat/>
    <w:rsid w:val="00984E92"/>
    <w:rPr>
      <w:rFonts w:ascii="Tahoma" w:hAnsi="Tahoma" w:cs="Tahoma"/>
      <w:sz w:val="16"/>
      <w:szCs w:val="16"/>
    </w:rPr>
  </w:style>
  <w:style w:type="paragraph" w:styleId="Web">
    <w:name w:val="Normal (Web)"/>
    <w:basedOn w:val="a"/>
    <w:uiPriority w:val="99"/>
    <w:semiHidden/>
    <w:unhideWhenUsed/>
    <w:qFormat/>
    <w:rsid w:val="000447AA"/>
    <w:pPr>
      <w:spacing w:beforeAutospacing="1" w:afterAutospacing="1"/>
    </w:pPr>
  </w:style>
  <w:style w:type="paragraph" w:customStyle="1" w:styleId="HeaderandFooter">
    <w:name w:val="Header and Footer"/>
    <w:basedOn w:val="a"/>
    <w:qFormat/>
    <w:rsid w:val="00BC2764"/>
  </w:style>
  <w:style w:type="paragraph" w:styleId="aa">
    <w:name w:val="header"/>
    <w:basedOn w:val="a"/>
    <w:uiPriority w:val="99"/>
    <w:unhideWhenUsed/>
    <w:rsid w:val="00ED567B"/>
    <w:pPr>
      <w:tabs>
        <w:tab w:val="center" w:pos="4153"/>
        <w:tab w:val="right" w:pos="8306"/>
      </w:tabs>
    </w:pPr>
  </w:style>
  <w:style w:type="paragraph" w:styleId="a5">
    <w:name w:val="footer"/>
    <w:basedOn w:val="a"/>
    <w:link w:val="Char1"/>
    <w:uiPriority w:val="99"/>
    <w:unhideWhenUsed/>
    <w:rsid w:val="00ED567B"/>
    <w:pPr>
      <w:tabs>
        <w:tab w:val="center" w:pos="4153"/>
        <w:tab w:val="right" w:pos="8306"/>
      </w:tabs>
    </w:pPr>
  </w:style>
  <w:style w:type="paragraph" w:styleId="ab">
    <w:name w:val="List Paragraph"/>
    <w:basedOn w:val="a"/>
    <w:uiPriority w:val="34"/>
    <w:qFormat/>
    <w:rsid w:val="003041E4"/>
    <w:pPr>
      <w:ind w:left="720"/>
      <w:contextualSpacing/>
    </w:pPr>
  </w:style>
  <w:style w:type="paragraph" w:styleId="-HTML">
    <w:name w:val="HTML Preformatted"/>
    <w:basedOn w:val="a"/>
    <w:uiPriority w:val="99"/>
    <w:semiHidden/>
    <w:unhideWhenUsed/>
    <w:qFormat/>
    <w:rsid w:val="001A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TableContents">
    <w:name w:val="Table Contents"/>
    <w:basedOn w:val="a"/>
    <w:qFormat/>
    <w:rsid w:val="00E64D07"/>
    <w:pPr>
      <w:suppressLineNumbers/>
    </w:pPr>
  </w:style>
  <w:style w:type="paragraph" w:customStyle="1" w:styleId="TableHeading">
    <w:name w:val="Table Heading"/>
    <w:basedOn w:val="TableContents"/>
    <w:qFormat/>
    <w:rsid w:val="00E64D07"/>
    <w:pPr>
      <w:jc w:val="center"/>
    </w:pPr>
    <w:rPr>
      <w:b/>
      <w:bCs/>
    </w:rPr>
  </w:style>
  <w:style w:type="table" w:styleId="ac">
    <w:name w:val="Table Grid"/>
    <w:basedOn w:val="a1"/>
    <w:uiPriority w:val="99"/>
    <w:rsid w:val="00AA053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ramelerecas.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CramaCeptu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rea.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tnari.ro/en/homepage-en/" TargetMode="External"/><Relationship Id="rId4" Type="http://schemas.openxmlformats.org/officeDocument/2006/relationships/webSettings" Target="webSettings.xml"/><Relationship Id="rId9" Type="http://schemas.openxmlformats.org/officeDocument/2006/relationships/hyperlink" Target="http://www.jidvie.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gora.mfa.gr/romania" TargetMode="External"/><Relationship Id="rId1" Type="http://schemas.openxmlformats.org/officeDocument/2006/relationships/hyperlink" Target="mailto:ecocom-bucharest@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21677-8F61-4FFA-88F6-B5E6AB70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4072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dimitra.schina</dc:creator>
  <dc:description/>
  <cp:lastModifiedBy>Sofia</cp:lastModifiedBy>
  <cp:revision>2</cp:revision>
  <cp:lastPrinted>2023-02-20T13:21:00Z</cp:lastPrinted>
  <dcterms:created xsi:type="dcterms:W3CDTF">2023-02-21T07:06:00Z</dcterms:created>
  <dcterms:modified xsi:type="dcterms:W3CDTF">2023-02-21T07:06:00Z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