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56D" w:rsidRDefault="00B9456D" w:rsidP="00B9456D">
      <w:pPr>
        <w:jc w:val="center"/>
        <w:rPr>
          <w:b/>
          <w:i/>
          <w:sz w:val="24"/>
          <w:szCs w:val="24"/>
        </w:rPr>
      </w:pPr>
      <w:r w:rsidRPr="0046694C">
        <w:rPr>
          <w:b/>
          <w:i/>
          <w:sz w:val="24"/>
          <w:szCs w:val="24"/>
        </w:rPr>
        <w:t>ΣΗΜΕΙΩΜΑ</w:t>
      </w:r>
    </w:p>
    <w:p w:rsidR="00B9456D" w:rsidRPr="004201C8" w:rsidRDefault="00B9456D" w:rsidP="00B9456D">
      <w:pPr>
        <w:spacing w:before="100" w:beforeAutospacing="1" w:after="100" w:afterAutospacing="1"/>
        <w:rPr>
          <w:rFonts w:cstheme="minorHAnsi"/>
          <w:b/>
          <w:bCs/>
          <w:iCs/>
          <w:szCs w:val="24"/>
        </w:rPr>
      </w:pPr>
      <w:bookmarkStart w:id="0" w:name="_GoBack"/>
      <w:r>
        <w:rPr>
          <w:rFonts w:cstheme="minorHAnsi"/>
          <w:b/>
          <w:szCs w:val="24"/>
        </w:rPr>
        <w:t xml:space="preserve">Ανασκόπηση οικονομικής δραστηριότητας στη Σερβία κατά το 2017-Προβλέψεις 2018  –Διμερείς σχέσεις </w:t>
      </w:r>
    </w:p>
    <w:bookmarkEnd w:id="0"/>
    <w:p w:rsidR="00B9456D" w:rsidRPr="004E124B" w:rsidRDefault="00B9456D" w:rsidP="00B9456D">
      <w:pPr>
        <w:spacing w:before="100" w:beforeAutospacing="1" w:after="100" w:afterAutospacing="1" w:line="360" w:lineRule="auto"/>
        <w:contextualSpacing/>
        <w:jc w:val="both"/>
        <w:rPr>
          <w:rFonts w:cstheme="minorHAnsi"/>
          <w:b/>
          <w:i/>
          <w:szCs w:val="24"/>
        </w:rPr>
      </w:pPr>
      <w:r w:rsidRPr="004201C8">
        <w:rPr>
          <w:rFonts w:cstheme="minorHAnsi"/>
          <w:b/>
          <w:szCs w:val="24"/>
        </w:rPr>
        <w:t xml:space="preserve">    </w:t>
      </w:r>
      <w:r>
        <w:rPr>
          <w:rFonts w:cstheme="minorHAnsi"/>
          <w:szCs w:val="24"/>
        </w:rPr>
        <w:tab/>
      </w:r>
      <w:r w:rsidRPr="004201C8">
        <w:rPr>
          <w:rFonts w:cstheme="minorHAnsi"/>
          <w:szCs w:val="24"/>
        </w:rPr>
        <w:t xml:space="preserve">Η συνολική οικονομική δραστηριότητα το 2017 στη Σερβία οδήγησε σε </w:t>
      </w:r>
      <w:r w:rsidRPr="004201C8">
        <w:rPr>
          <w:rFonts w:cstheme="minorHAnsi"/>
          <w:b/>
          <w:i/>
          <w:szCs w:val="24"/>
        </w:rPr>
        <w:t>αύξηση 1,9% της ανάπτυξης</w:t>
      </w:r>
      <w:r w:rsidRPr="004201C8">
        <w:rPr>
          <w:rFonts w:cstheme="minorHAnsi"/>
          <w:szCs w:val="24"/>
        </w:rPr>
        <w:t xml:space="preserve"> σε σύγκριση με το 2016. Το ΑΕΠ παρουσίασε αύξηση της τάξεως του 2% ενώ το </w:t>
      </w:r>
      <w:r w:rsidRPr="004201C8">
        <w:rPr>
          <w:rFonts w:cstheme="minorHAnsi"/>
          <w:b/>
          <w:i/>
          <w:szCs w:val="24"/>
        </w:rPr>
        <w:t>δημόσιο έλλειμμα ως ποσοστό του ΑΕΠ ήταν 4.6%</w:t>
      </w:r>
      <w:r w:rsidRPr="004201C8">
        <w:rPr>
          <w:rFonts w:cstheme="minorHAnsi"/>
          <w:szCs w:val="24"/>
        </w:rPr>
        <w:t xml:space="preserve"> (αυξημένο σε σχέση με το προηγούμενο έτος κατά 1,5%)</w:t>
      </w:r>
      <w:r>
        <w:rPr>
          <w:rFonts w:cstheme="minorHAnsi"/>
          <w:szCs w:val="24"/>
        </w:rPr>
        <w:t>*</w:t>
      </w:r>
      <w:r w:rsidRPr="004201C8">
        <w:rPr>
          <w:rFonts w:cstheme="minorHAnsi"/>
          <w:szCs w:val="24"/>
        </w:rPr>
        <w:t xml:space="preserve">., ενώ το </w:t>
      </w:r>
      <w:r w:rsidRPr="004201C8">
        <w:rPr>
          <w:rFonts w:cstheme="minorHAnsi"/>
          <w:b/>
          <w:i/>
          <w:szCs w:val="24"/>
        </w:rPr>
        <w:t xml:space="preserve">χρέος της κεντρικής κυβέρνησης ως ποσοστό του ΑΕΠ (σύμφωνα με στοιχεία του </w:t>
      </w:r>
      <w:r w:rsidRPr="004E124B">
        <w:rPr>
          <w:rFonts w:cstheme="minorHAnsi"/>
          <w:b/>
          <w:i/>
          <w:szCs w:val="24"/>
        </w:rPr>
        <w:t>Υπουργείου Οικονομίας) έφθασε το 62,6%</w:t>
      </w:r>
      <w:r w:rsidRPr="004E124B">
        <w:rPr>
          <w:rFonts w:cstheme="minorHAnsi"/>
          <w:szCs w:val="24"/>
        </w:rPr>
        <w:t xml:space="preserve"> (Νοέμβριος 2017). Τον Δεκέμβριο του 2016, το χρέος ανερχόταν σε 24,82 δισ. Ευρώ ή 71,9% στο ΑΕΠ.  Η </w:t>
      </w:r>
      <w:r w:rsidRPr="004E124B">
        <w:rPr>
          <w:rFonts w:cstheme="minorHAnsi"/>
          <w:b/>
          <w:i/>
          <w:szCs w:val="24"/>
        </w:rPr>
        <w:t xml:space="preserve">βιομηχανική παραγωγή παρουσίασε αύξηση της τάξης του 3,9% </w:t>
      </w:r>
      <w:r w:rsidRPr="004E124B">
        <w:rPr>
          <w:rFonts w:cstheme="minorHAnsi"/>
          <w:szCs w:val="24"/>
        </w:rPr>
        <w:t xml:space="preserve">σε σχέση με το προηγούμενο έτος. Ένας μακρύς χειμώνας επηρέασε τους τομείς της ενέργειας και των κατασκευών, ενώ η πρόσφατη ξηρασία οδήγησε σε σημαντική μείωση της γεωργικής παραγωγής, η οποία το 2017 σημείωσε πτώση 10,0% σε σχέση με το 2016. Η αξία των κατασκευαστικών έργων που πραγματοποιήθηκαν το 2017 σημείωσε πραγματική αύξηση 2,8% σε σχέση με το 2016. Ο κύκλος εργασιών λιανικού εμπορίου παρουσίασε πραγματική αύξηση 4,0%, ενώ ο κύκλος εργασιών χονδρικού εμπορίου παρουσίασε ονομαστική αύξηση 7,8%. Το συνολικό εξωτερικό εμπόριο αγαθών το 2017 περιελάμβανε αύξηση των εξαγωγών κατά 13,0% και αύξηση των εισαγωγών κατά 14,2%. Οι καθαρές αποδοχές και οι μισθοί το 2017 αυξήθηκαν κατά 4,1% σε ονομαστικούς όρους και κατά 1,1% σε πραγματικούς όρους. Ο </w:t>
      </w:r>
      <w:r w:rsidRPr="004E124B">
        <w:rPr>
          <w:rFonts w:cstheme="minorHAnsi"/>
          <w:b/>
          <w:i/>
          <w:szCs w:val="24"/>
        </w:rPr>
        <w:t>ετήσιος ρυθμός πληθωρισμού εκτιμάται ότι είναι ίσος με 3,0%.</w:t>
      </w:r>
    </w:p>
    <w:p w:rsidR="00B9456D" w:rsidRPr="004E124B" w:rsidRDefault="00B9456D" w:rsidP="00B945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jc w:val="both"/>
        <w:rPr>
          <w:rFonts w:cstheme="minorHAnsi"/>
          <w:szCs w:val="24"/>
        </w:rPr>
      </w:pPr>
      <w:r>
        <w:rPr>
          <w:rFonts w:cstheme="minorHAnsi"/>
          <w:szCs w:val="24"/>
        </w:rPr>
        <w:tab/>
      </w:r>
      <w:r w:rsidRPr="004E124B">
        <w:rPr>
          <w:rFonts w:cstheme="minorHAnsi"/>
          <w:szCs w:val="24"/>
        </w:rPr>
        <w:t xml:space="preserve">Το συνολικό εξωτερικό εμπόριο στη Δημοκρατία της Σερβίας για την περίοδο Ιανουαρίου - Νοεμβρίου 2017 ανήλθε σε 31.556,1 εκατ. Ευρώ - δηλαδή αύξηση 13,9% σε σύγκριση με την ίδια περίοδο του 2016. </w:t>
      </w:r>
    </w:p>
    <w:p w:rsidR="00B9456D" w:rsidRPr="0008304D" w:rsidRDefault="00B9456D" w:rsidP="00B945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jc w:val="both"/>
        <w:rPr>
          <w:rFonts w:cstheme="minorHAnsi"/>
          <w:u w:val="single"/>
        </w:rPr>
      </w:pPr>
      <w:r w:rsidRPr="004E124B">
        <w:rPr>
          <w:rFonts w:cstheme="minorHAnsi"/>
          <w:szCs w:val="24"/>
        </w:rPr>
        <w:tab/>
      </w:r>
      <w:r w:rsidRPr="0008304D">
        <w:rPr>
          <w:rFonts w:cstheme="minorHAnsi"/>
          <w:u w:val="single"/>
        </w:rPr>
        <w:t>Βασικότεροι εμπορικοί εταίροι:</w:t>
      </w:r>
    </w:p>
    <w:tbl>
      <w:tblPr>
        <w:tblW w:w="8471" w:type="dxa"/>
        <w:tblLook w:val="04A0" w:firstRow="1" w:lastRow="0" w:firstColumn="1" w:lastColumn="0" w:noHBand="0" w:noVBand="1"/>
      </w:tblPr>
      <w:tblGrid>
        <w:gridCol w:w="2660"/>
        <w:gridCol w:w="1984"/>
        <w:gridCol w:w="2268"/>
        <w:gridCol w:w="1559"/>
      </w:tblGrid>
      <w:tr w:rsidR="00B9456D" w:rsidRPr="0008304D" w:rsidTr="007376D0">
        <w:trPr>
          <w:trHeight w:val="322"/>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456D" w:rsidRPr="001B0807" w:rsidRDefault="00B9456D" w:rsidP="007376D0">
            <w:pPr>
              <w:jc w:val="center"/>
              <w:rPr>
                <w:rFonts w:cstheme="minorHAnsi"/>
                <w:b/>
                <w:bCs/>
                <w:i/>
                <w:lang w:eastAsia="en-GB"/>
              </w:rPr>
            </w:pPr>
            <w:r w:rsidRPr="001B0807">
              <w:rPr>
                <w:rFonts w:cstheme="minorHAnsi"/>
                <w:b/>
                <w:bCs/>
                <w:i/>
              </w:rPr>
              <w:t>Εξαγωγές</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B9456D" w:rsidRPr="001B0807" w:rsidRDefault="00B9456D" w:rsidP="007376D0">
            <w:pPr>
              <w:rPr>
                <w:rFonts w:cstheme="minorHAnsi"/>
                <w:i/>
              </w:rPr>
            </w:pPr>
            <w:r w:rsidRPr="001B0807">
              <w:rPr>
                <w:rFonts w:cstheme="minorHAnsi"/>
                <w:i/>
              </w:rPr>
              <w:t>ΕΥΡΩ εκατ.</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B9456D" w:rsidRPr="001B0807" w:rsidRDefault="00B9456D" w:rsidP="007376D0">
            <w:pPr>
              <w:jc w:val="center"/>
              <w:rPr>
                <w:rFonts w:cstheme="minorHAnsi"/>
                <w:b/>
                <w:bCs/>
                <w:i/>
              </w:rPr>
            </w:pPr>
            <w:r w:rsidRPr="001B0807">
              <w:rPr>
                <w:rFonts w:cstheme="minorHAnsi"/>
                <w:b/>
                <w:bCs/>
                <w:i/>
              </w:rPr>
              <w:t>Εισαγωγές</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9456D" w:rsidRPr="001B0807" w:rsidRDefault="00B9456D" w:rsidP="007376D0">
            <w:pPr>
              <w:rPr>
                <w:rFonts w:cstheme="minorHAnsi"/>
                <w:i/>
              </w:rPr>
            </w:pPr>
            <w:r w:rsidRPr="001B0807">
              <w:rPr>
                <w:rFonts w:cstheme="minorHAnsi"/>
                <w:i/>
              </w:rPr>
              <w:t>ΕΥΡΩ εκατ.</w:t>
            </w:r>
          </w:p>
        </w:tc>
      </w:tr>
      <w:tr w:rsidR="00B9456D" w:rsidRPr="0008304D" w:rsidTr="007376D0">
        <w:trPr>
          <w:trHeight w:val="261"/>
        </w:trPr>
        <w:tc>
          <w:tcPr>
            <w:tcW w:w="2660" w:type="dxa"/>
            <w:tcBorders>
              <w:top w:val="nil"/>
              <w:left w:val="single" w:sz="4" w:space="0" w:color="auto"/>
              <w:bottom w:val="nil"/>
              <w:right w:val="single" w:sz="4" w:space="0" w:color="auto"/>
            </w:tcBorders>
            <w:shd w:val="clear" w:color="auto" w:fill="auto"/>
            <w:noWrap/>
            <w:vAlign w:val="bottom"/>
            <w:hideMark/>
          </w:tcPr>
          <w:p w:rsidR="00B9456D" w:rsidRPr="0008304D" w:rsidRDefault="00B9456D" w:rsidP="007376D0">
            <w:pPr>
              <w:rPr>
                <w:rFonts w:cstheme="minorHAnsi"/>
              </w:rPr>
            </w:pPr>
          </w:p>
        </w:tc>
        <w:tc>
          <w:tcPr>
            <w:tcW w:w="1984" w:type="dxa"/>
            <w:tcBorders>
              <w:top w:val="nil"/>
              <w:left w:val="single" w:sz="4" w:space="0" w:color="auto"/>
              <w:bottom w:val="nil"/>
              <w:right w:val="single" w:sz="4" w:space="0" w:color="auto"/>
            </w:tcBorders>
            <w:shd w:val="clear" w:color="auto" w:fill="auto"/>
            <w:noWrap/>
            <w:vAlign w:val="bottom"/>
            <w:hideMark/>
          </w:tcPr>
          <w:p w:rsidR="00B9456D" w:rsidRPr="0008304D" w:rsidRDefault="00B9456D" w:rsidP="007376D0">
            <w:pPr>
              <w:jc w:val="right"/>
              <w:rPr>
                <w:rFonts w:cstheme="minorHAnsi"/>
              </w:rPr>
            </w:pPr>
          </w:p>
        </w:tc>
        <w:tc>
          <w:tcPr>
            <w:tcW w:w="2268" w:type="dxa"/>
            <w:tcBorders>
              <w:top w:val="nil"/>
              <w:left w:val="single" w:sz="4" w:space="0" w:color="auto"/>
              <w:bottom w:val="nil"/>
              <w:right w:val="single" w:sz="4" w:space="0" w:color="auto"/>
            </w:tcBorders>
            <w:shd w:val="clear" w:color="auto" w:fill="auto"/>
            <w:noWrap/>
            <w:vAlign w:val="bottom"/>
            <w:hideMark/>
          </w:tcPr>
          <w:p w:rsidR="00B9456D" w:rsidRPr="0008304D" w:rsidRDefault="00B9456D" w:rsidP="007376D0">
            <w:pPr>
              <w:jc w:val="right"/>
              <w:rPr>
                <w:rFonts w:cstheme="minorHAnsi"/>
              </w:rPr>
            </w:pPr>
          </w:p>
        </w:tc>
        <w:tc>
          <w:tcPr>
            <w:tcW w:w="1559" w:type="dxa"/>
            <w:tcBorders>
              <w:top w:val="nil"/>
              <w:left w:val="single" w:sz="4" w:space="0" w:color="auto"/>
              <w:bottom w:val="nil"/>
              <w:right w:val="single" w:sz="4" w:space="0" w:color="auto"/>
            </w:tcBorders>
            <w:shd w:val="clear" w:color="auto" w:fill="auto"/>
            <w:noWrap/>
            <w:vAlign w:val="bottom"/>
            <w:hideMark/>
          </w:tcPr>
          <w:p w:rsidR="00B9456D" w:rsidRPr="0008304D" w:rsidRDefault="00B9456D" w:rsidP="007376D0">
            <w:pPr>
              <w:jc w:val="right"/>
              <w:rPr>
                <w:rFonts w:cstheme="minorHAnsi"/>
              </w:rPr>
            </w:pPr>
          </w:p>
        </w:tc>
      </w:tr>
      <w:tr w:rsidR="00B9456D" w:rsidRPr="0008304D" w:rsidTr="007376D0">
        <w:trPr>
          <w:trHeight w:val="261"/>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B9456D" w:rsidRPr="0008304D" w:rsidRDefault="00B9456D" w:rsidP="007376D0">
            <w:pPr>
              <w:rPr>
                <w:rFonts w:cstheme="minorHAnsi"/>
              </w:rPr>
            </w:pPr>
            <w:r w:rsidRPr="0008304D">
              <w:rPr>
                <w:rFonts w:cstheme="minorHAnsi"/>
              </w:rPr>
              <w:t xml:space="preserve">Ιταλία                    </w:t>
            </w:r>
          </w:p>
        </w:tc>
        <w:tc>
          <w:tcPr>
            <w:tcW w:w="1984" w:type="dxa"/>
            <w:tcBorders>
              <w:top w:val="nil"/>
              <w:left w:val="nil"/>
              <w:bottom w:val="single" w:sz="4" w:space="0" w:color="auto"/>
              <w:right w:val="single" w:sz="4" w:space="0" w:color="auto"/>
            </w:tcBorders>
            <w:shd w:val="clear" w:color="auto" w:fill="auto"/>
            <w:noWrap/>
            <w:vAlign w:val="bottom"/>
            <w:hideMark/>
          </w:tcPr>
          <w:p w:rsidR="00B9456D" w:rsidRPr="0008304D" w:rsidRDefault="00B9456D" w:rsidP="007376D0">
            <w:pPr>
              <w:jc w:val="right"/>
              <w:rPr>
                <w:rFonts w:cstheme="minorHAnsi"/>
                <w:lang w:eastAsia="en-GB"/>
              </w:rPr>
            </w:pPr>
            <w:r w:rsidRPr="0008304D">
              <w:rPr>
                <w:rFonts w:cstheme="minorHAnsi"/>
              </w:rPr>
              <w:t>1858.6</w:t>
            </w:r>
          </w:p>
        </w:tc>
        <w:tc>
          <w:tcPr>
            <w:tcW w:w="2268" w:type="dxa"/>
            <w:tcBorders>
              <w:top w:val="nil"/>
              <w:left w:val="nil"/>
              <w:bottom w:val="single" w:sz="4" w:space="0" w:color="auto"/>
              <w:right w:val="single" w:sz="4" w:space="0" w:color="auto"/>
            </w:tcBorders>
            <w:shd w:val="clear" w:color="auto" w:fill="auto"/>
            <w:noWrap/>
            <w:vAlign w:val="bottom"/>
            <w:hideMark/>
          </w:tcPr>
          <w:p w:rsidR="00B9456D" w:rsidRPr="0008304D" w:rsidRDefault="00B9456D" w:rsidP="007376D0">
            <w:pPr>
              <w:rPr>
                <w:rFonts w:cstheme="minorHAnsi"/>
              </w:rPr>
            </w:pPr>
            <w:r w:rsidRPr="0008304D">
              <w:rPr>
                <w:rFonts w:cstheme="minorHAnsi"/>
              </w:rPr>
              <w:t xml:space="preserve">Γερμανία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B9456D" w:rsidRPr="0008304D" w:rsidRDefault="00B9456D" w:rsidP="007376D0">
            <w:pPr>
              <w:jc w:val="right"/>
              <w:rPr>
                <w:rFonts w:cstheme="minorHAnsi"/>
                <w:lang w:eastAsia="en-GB"/>
              </w:rPr>
            </w:pPr>
            <w:r w:rsidRPr="0008304D">
              <w:rPr>
                <w:rFonts w:cstheme="minorHAnsi"/>
              </w:rPr>
              <w:t>2235.6</w:t>
            </w:r>
          </w:p>
        </w:tc>
      </w:tr>
      <w:tr w:rsidR="00B9456D" w:rsidRPr="0008304D" w:rsidTr="007376D0">
        <w:trPr>
          <w:trHeight w:val="261"/>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56D" w:rsidRPr="0008304D" w:rsidRDefault="00B9456D" w:rsidP="007376D0">
            <w:pPr>
              <w:rPr>
                <w:rFonts w:cstheme="minorHAnsi"/>
              </w:rPr>
            </w:pPr>
            <w:r w:rsidRPr="0008304D">
              <w:rPr>
                <w:rFonts w:cstheme="minorHAnsi"/>
              </w:rPr>
              <w:t xml:space="preserve">Γερμανία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B9456D" w:rsidRPr="0008304D" w:rsidRDefault="00B9456D" w:rsidP="007376D0">
            <w:pPr>
              <w:jc w:val="right"/>
              <w:rPr>
                <w:rFonts w:cstheme="minorHAnsi"/>
              </w:rPr>
            </w:pPr>
            <w:r w:rsidRPr="0008304D">
              <w:rPr>
                <w:rFonts w:cstheme="minorHAnsi"/>
              </w:rPr>
              <w:t>1751.2</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B9456D" w:rsidRPr="0008304D" w:rsidRDefault="00B9456D" w:rsidP="007376D0">
            <w:pPr>
              <w:rPr>
                <w:rFonts w:cstheme="minorHAnsi"/>
              </w:rPr>
            </w:pPr>
            <w:r w:rsidRPr="0008304D">
              <w:rPr>
                <w:rFonts w:cstheme="minorHAnsi"/>
              </w:rPr>
              <w:t xml:space="preserve">Ιταλία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56D" w:rsidRPr="0008304D" w:rsidRDefault="00B9456D" w:rsidP="007376D0">
            <w:pPr>
              <w:jc w:val="right"/>
              <w:rPr>
                <w:rFonts w:cstheme="minorHAnsi"/>
              </w:rPr>
            </w:pPr>
            <w:r w:rsidRPr="0008304D">
              <w:rPr>
                <w:rFonts w:cstheme="minorHAnsi"/>
              </w:rPr>
              <w:t>1786.0</w:t>
            </w:r>
          </w:p>
        </w:tc>
      </w:tr>
      <w:tr w:rsidR="00B9456D" w:rsidRPr="0008304D" w:rsidTr="007376D0">
        <w:trPr>
          <w:trHeight w:val="261"/>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56D" w:rsidRPr="0008304D" w:rsidRDefault="00B9456D" w:rsidP="007376D0">
            <w:pPr>
              <w:rPr>
                <w:rFonts w:cstheme="minorHAnsi"/>
              </w:rPr>
            </w:pPr>
            <w:r w:rsidRPr="0008304D">
              <w:rPr>
                <w:rFonts w:cstheme="minorHAnsi"/>
              </w:rPr>
              <w:t>Βοσνία-Ερζεγοβίνη</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B9456D" w:rsidRPr="0008304D" w:rsidRDefault="00B9456D" w:rsidP="007376D0">
            <w:pPr>
              <w:jc w:val="right"/>
              <w:rPr>
                <w:rFonts w:cstheme="minorHAnsi"/>
              </w:rPr>
            </w:pPr>
            <w:r w:rsidRPr="0008304D">
              <w:rPr>
                <w:rFonts w:cstheme="minorHAnsi"/>
              </w:rPr>
              <w:t>1106.9</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B9456D" w:rsidRPr="0008304D" w:rsidRDefault="00B9456D" w:rsidP="007376D0">
            <w:pPr>
              <w:rPr>
                <w:rFonts w:cstheme="minorHAnsi"/>
              </w:rPr>
            </w:pPr>
            <w:r w:rsidRPr="0008304D">
              <w:rPr>
                <w:rFonts w:cstheme="minorHAnsi"/>
              </w:rPr>
              <w:t xml:space="preserve">Κίνα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56D" w:rsidRPr="0008304D" w:rsidRDefault="00B9456D" w:rsidP="007376D0">
            <w:pPr>
              <w:jc w:val="right"/>
              <w:rPr>
                <w:rFonts w:cstheme="minorHAnsi"/>
              </w:rPr>
            </w:pPr>
            <w:r w:rsidRPr="0008304D">
              <w:rPr>
                <w:rFonts w:cstheme="minorHAnsi"/>
              </w:rPr>
              <w:t>1421.9</w:t>
            </w:r>
          </w:p>
        </w:tc>
      </w:tr>
      <w:tr w:rsidR="00B9456D" w:rsidRPr="0008304D" w:rsidTr="007376D0">
        <w:trPr>
          <w:trHeight w:val="261"/>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56D" w:rsidRPr="0008304D" w:rsidRDefault="00B9456D" w:rsidP="007376D0">
            <w:pPr>
              <w:rPr>
                <w:rFonts w:cstheme="minorHAnsi"/>
              </w:rPr>
            </w:pPr>
            <w:r w:rsidRPr="0008304D">
              <w:rPr>
                <w:rFonts w:cstheme="minorHAnsi"/>
              </w:rPr>
              <w:t>Ρωσία</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B9456D" w:rsidRPr="0008304D" w:rsidRDefault="00B9456D" w:rsidP="007376D0">
            <w:pPr>
              <w:jc w:val="right"/>
              <w:rPr>
                <w:rFonts w:cstheme="minorHAnsi"/>
              </w:rPr>
            </w:pPr>
            <w:r w:rsidRPr="0008304D">
              <w:rPr>
                <w:rFonts w:cstheme="minorHAnsi"/>
              </w:rPr>
              <w:t>815.3</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B9456D" w:rsidRPr="0008304D" w:rsidRDefault="00B9456D" w:rsidP="007376D0">
            <w:pPr>
              <w:rPr>
                <w:rFonts w:cstheme="minorHAnsi"/>
              </w:rPr>
            </w:pPr>
            <w:r w:rsidRPr="0008304D">
              <w:rPr>
                <w:rFonts w:cstheme="minorHAnsi"/>
              </w:rPr>
              <w:t>Ρωσία</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56D" w:rsidRPr="0008304D" w:rsidRDefault="00B9456D" w:rsidP="007376D0">
            <w:pPr>
              <w:jc w:val="right"/>
              <w:rPr>
                <w:rFonts w:cstheme="minorHAnsi"/>
              </w:rPr>
            </w:pPr>
            <w:r w:rsidRPr="0008304D">
              <w:rPr>
                <w:rFonts w:cstheme="minorHAnsi"/>
              </w:rPr>
              <w:t>1259.1</w:t>
            </w:r>
          </w:p>
        </w:tc>
      </w:tr>
      <w:tr w:rsidR="00B9456D" w:rsidRPr="0008304D" w:rsidTr="007376D0">
        <w:trPr>
          <w:trHeight w:val="261"/>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56D" w:rsidRPr="0008304D" w:rsidRDefault="00B9456D" w:rsidP="007376D0">
            <w:pPr>
              <w:rPr>
                <w:rFonts w:cstheme="minorHAnsi"/>
              </w:rPr>
            </w:pPr>
            <w:r w:rsidRPr="0008304D">
              <w:rPr>
                <w:rFonts w:cstheme="minorHAnsi"/>
              </w:rPr>
              <w:t xml:space="preserve">Ρουμανία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B9456D" w:rsidRPr="0008304D" w:rsidRDefault="00B9456D" w:rsidP="007376D0">
            <w:pPr>
              <w:jc w:val="right"/>
              <w:rPr>
                <w:rFonts w:cstheme="minorHAnsi"/>
              </w:rPr>
            </w:pPr>
            <w:r w:rsidRPr="0008304D">
              <w:rPr>
                <w:rFonts w:cstheme="minorHAnsi"/>
              </w:rPr>
              <w:t>677.8</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B9456D" w:rsidRPr="0008304D" w:rsidRDefault="00B9456D" w:rsidP="007376D0">
            <w:pPr>
              <w:rPr>
                <w:rFonts w:cstheme="minorHAnsi"/>
              </w:rPr>
            </w:pPr>
            <w:r w:rsidRPr="0008304D">
              <w:rPr>
                <w:rFonts w:cstheme="minorHAnsi"/>
              </w:rPr>
              <w:t xml:space="preserve">Ουγγαρία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56D" w:rsidRPr="0008304D" w:rsidRDefault="00B9456D" w:rsidP="007376D0">
            <w:pPr>
              <w:jc w:val="right"/>
              <w:rPr>
                <w:rFonts w:cstheme="minorHAnsi"/>
              </w:rPr>
            </w:pPr>
            <w:r w:rsidRPr="0008304D">
              <w:rPr>
                <w:rFonts w:cstheme="minorHAnsi"/>
              </w:rPr>
              <w:t>850.7</w:t>
            </w:r>
          </w:p>
        </w:tc>
      </w:tr>
    </w:tbl>
    <w:p w:rsidR="00B9456D" w:rsidRDefault="00B9456D" w:rsidP="00B945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jc w:val="both"/>
        <w:rPr>
          <w:rFonts w:cstheme="minorHAnsi"/>
          <w:u w:val="single"/>
        </w:rPr>
      </w:pPr>
    </w:p>
    <w:p w:rsidR="00B9456D" w:rsidRPr="00776078" w:rsidRDefault="00B9456D" w:rsidP="00B945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jc w:val="both"/>
        <w:rPr>
          <w:rFonts w:cstheme="minorHAnsi"/>
          <w:u w:val="single"/>
        </w:rPr>
      </w:pPr>
      <w:r w:rsidRPr="0008304D">
        <w:rPr>
          <w:rFonts w:cstheme="minorHAnsi"/>
          <w:u w:val="single"/>
        </w:rPr>
        <w:lastRenderedPageBreak/>
        <w:t xml:space="preserve">Διάρθρωση εξαγωγών </w:t>
      </w:r>
      <w:r w:rsidRPr="00776078">
        <w:rPr>
          <w:rFonts w:cstheme="minorHAnsi"/>
          <w:u w:val="single"/>
        </w:rPr>
        <w:t>και εισαγωγών:</w:t>
      </w:r>
    </w:p>
    <w:tbl>
      <w:tblPr>
        <w:tblW w:w="8472" w:type="dxa"/>
        <w:tblLook w:val="04A0" w:firstRow="1" w:lastRow="0" w:firstColumn="1" w:lastColumn="0" w:noHBand="0" w:noVBand="1"/>
      </w:tblPr>
      <w:tblGrid>
        <w:gridCol w:w="2689"/>
        <w:gridCol w:w="1672"/>
        <w:gridCol w:w="2433"/>
        <w:gridCol w:w="1678"/>
      </w:tblGrid>
      <w:tr w:rsidR="00B9456D" w:rsidRPr="00776078" w:rsidTr="007376D0">
        <w:trPr>
          <w:trHeight w:val="315"/>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456D" w:rsidRPr="001B0807" w:rsidRDefault="00B9456D" w:rsidP="007376D0">
            <w:pPr>
              <w:jc w:val="center"/>
              <w:rPr>
                <w:rFonts w:cstheme="minorHAnsi"/>
                <w:b/>
                <w:bCs/>
                <w:i/>
                <w:lang w:eastAsia="en-GB"/>
              </w:rPr>
            </w:pPr>
            <w:r w:rsidRPr="001B0807">
              <w:rPr>
                <w:rFonts w:cstheme="minorHAnsi"/>
                <w:b/>
                <w:bCs/>
                <w:i/>
              </w:rPr>
              <w:t>Εξαγωγές</w:t>
            </w:r>
          </w:p>
        </w:tc>
        <w:tc>
          <w:tcPr>
            <w:tcW w:w="1672" w:type="dxa"/>
            <w:tcBorders>
              <w:top w:val="single" w:sz="4" w:space="0" w:color="auto"/>
              <w:left w:val="nil"/>
              <w:bottom w:val="single" w:sz="4" w:space="0" w:color="auto"/>
              <w:right w:val="single" w:sz="4" w:space="0" w:color="auto"/>
            </w:tcBorders>
            <w:shd w:val="clear" w:color="auto" w:fill="auto"/>
            <w:noWrap/>
            <w:vAlign w:val="bottom"/>
            <w:hideMark/>
          </w:tcPr>
          <w:p w:rsidR="00B9456D" w:rsidRPr="001B0807" w:rsidRDefault="00B9456D" w:rsidP="007376D0">
            <w:pPr>
              <w:rPr>
                <w:rFonts w:cstheme="minorHAnsi"/>
                <w:i/>
              </w:rPr>
            </w:pPr>
            <w:r w:rsidRPr="001B0807">
              <w:rPr>
                <w:rFonts w:cstheme="minorHAnsi"/>
                <w:i/>
              </w:rPr>
              <w:t>ΕΥΡΩ εκατ.</w:t>
            </w:r>
          </w:p>
        </w:tc>
        <w:tc>
          <w:tcPr>
            <w:tcW w:w="2433" w:type="dxa"/>
            <w:tcBorders>
              <w:top w:val="single" w:sz="4" w:space="0" w:color="auto"/>
              <w:left w:val="nil"/>
              <w:bottom w:val="single" w:sz="4" w:space="0" w:color="auto"/>
              <w:right w:val="single" w:sz="4" w:space="0" w:color="auto"/>
            </w:tcBorders>
            <w:shd w:val="clear" w:color="auto" w:fill="auto"/>
            <w:noWrap/>
            <w:vAlign w:val="bottom"/>
            <w:hideMark/>
          </w:tcPr>
          <w:p w:rsidR="00B9456D" w:rsidRPr="001B0807" w:rsidRDefault="00B9456D" w:rsidP="007376D0">
            <w:pPr>
              <w:jc w:val="center"/>
              <w:rPr>
                <w:rFonts w:cstheme="minorHAnsi"/>
                <w:b/>
                <w:bCs/>
                <w:i/>
              </w:rPr>
            </w:pPr>
            <w:r w:rsidRPr="001B0807">
              <w:rPr>
                <w:rFonts w:cstheme="minorHAnsi"/>
                <w:b/>
                <w:bCs/>
                <w:i/>
              </w:rPr>
              <w:t>Εισαγωγές</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B9456D" w:rsidRPr="001B0807" w:rsidRDefault="00B9456D" w:rsidP="007376D0">
            <w:pPr>
              <w:rPr>
                <w:rFonts w:cstheme="minorHAnsi"/>
                <w:i/>
              </w:rPr>
            </w:pPr>
            <w:r w:rsidRPr="001B0807">
              <w:rPr>
                <w:rFonts w:cstheme="minorHAnsi"/>
                <w:i/>
              </w:rPr>
              <w:t>ΕΥΡΩ εκατ.</w:t>
            </w:r>
          </w:p>
        </w:tc>
      </w:tr>
      <w:tr w:rsidR="00B9456D" w:rsidRPr="00776078" w:rsidTr="007376D0">
        <w:trPr>
          <w:trHeight w:val="315"/>
        </w:trPr>
        <w:tc>
          <w:tcPr>
            <w:tcW w:w="2689" w:type="dxa"/>
            <w:tcBorders>
              <w:top w:val="nil"/>
              <w:left w:val="single" w:sz="4" w:space="0" w:color="auto"/>
              <w:bottom w:val="nil"/>
              <w:right w:val="single" w:sz="4" w:space="0" w:color="auto"/>
            </w:tcBorders>
            <w:shd w:val="clear" w:color="auto" w:fill="auto"/>
            <w:noWrap/>
            <w:vAlign w:val="bottom"/>
            <w:hideMark/>
          </w:tcPr>
          <w:p w:rsidR="00B9456D" w:rsidRPr="00776078" w:rsidRDefault="00B9456D" w:rsidP="007376D0">
            <w:pPr>
              <w:rPr>
                <w:rFonts w:cstheme="minorHAnsi"/>
              </w:rPr>
            </w:pPr>
            <w:r w:rsidRPr="00776078">
              <w:rPr>
                <w:rFonts w:cstheme="minorHAnsi"/>
              </w:rPr>
              <w:t> </w:t>
            </w:r>
          </w:p>
        </w:tc>
        <w:tc>
          <w:tcPr>
            <w:tcW w:w="1672" w:type="dxa"/>
            <w:tcBorders>
              <w:top w:val="nil"/>
              <w:left w:val="single" w:sz="4" w:space="0" w:color="auto"/>
              <w:bottom w:val="nil"/>
              <w:right w:val="single" w:sz="4" w:space="0" w:color="auto"/>
            </w:tcBorders>
            <w:shd w:val="clear" w:color="auto" w:fill="auto"/>
            <w:noWrap/>
            <w:vAlign w:val="bottom"/>
            <w:hideMark/>
          </w:tcPr>
          <w:p w:rsidR="00B9456D" w:rsidRPr="00776078" w:rsidRDefault="00B9456D" w:rsidP="007376D0">
            <w:pPr>
              <w:jc w:val="right"/>
              <w:rPr>
                <w:rFonts w:cstheme="minorHAnsi"/>
              </w:rPr>
            </w:pPr>
            <w:r w:rsidRPr="00776078">
              <w:rPr>
                <w:rFonts w:cstheme="minorHAnsi"/>
              </w:rPr>
              <w:t> </w:t>
            </w:r>
          </w:p>
        </w:tc>
        <w:tc>
          <w:tcPr>
            <w:tcW w:w="2433" w:type="dxa"/>
            <w:tcBorders>
              <w:top w:val="nil"/>
              <w:left w:val="single" w:sz="4" w:space="0" w:color="auto"/>
              <w:bottom w:val="nil"/>
              <w:right w:val="single" w:sz="4" w:space="0" w:color="auto"/>
            </w:tcBorders>
            <w:shd w:val="clear" w:color="auto" w:fill="auto"/>
            <w:noWrap/>
            <w:vAlign w:val="bottom"/>
            <w:hideMark/>
          </w:tcPr>
          <w:p w:rsidR="00B9456D" w:rsidRPr="00776078" w:rsidRDefault="00B9456D" w:rsidP="007376D0">
            <w:pPr>
              <w:rPr>
                <w:rFonts w:cstheme="minorHAnsi"/>
              </w:rPr>
            </w:pPr>
            <w:r w:rsidRPr="00776078">
              <w:rPr>
                <w:rFonts w:cstheme="minorHAnsi"/>
              </w:rPr>
              <w:t> </w:t>
            </w:r>
          </w:p>
        </w:tc>
        <w:tc>
          <w:tcPr>
            <w:tcW w:w="1678" w:type="dxa"/>
            <w:tcBorders>
              <w:top w:val="nil"/>
              <w:left w:val="single" w:sz="4" w:space="0" w:color="auto"/>
              <w:bottom w:val="nil"/>
              <w:right w:val="single" w:sz="4" w:space="0" w:color="auto"/>
            </w:tcBorders>
            <w:shd w:val="clear" w:color="auto" w:fill="auto"/>
            <w:noWrap/>
            <w:vAlign w:val="bottom"/>
            <w:hideMark/>
          </w:tcPr>
          <w:p w:rsidR="00B9456D" w:rsidRPr="00776078" w:rsidRDefault="00B9456D" w:rsidP="007376D0">
            <w:pPr>
              <w:jc w:val="right"/>
              <w:rPr>
                <w:rFonts w:cstheme="minorHAnsi"/>
              </w:rPr>
            </w:pPr>
            <w:r w:rsidRPr="00776078">
              <w:rPr>
                <w:rFonts w:cstheme="minorHAnsi"/>
              </w:rPr>
              <w:t> </w:t>
            </w:r>
          </w:p>
        </w:tc>
      </w:tr>
      <w:tr w:rsidR="00B9456D" w:rsidRPr="00776078" w:rsidTr="007376D0">
        <w:trPr>
          <w:trHeight w:val="25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B9456D" w:rsidRPr="00776078" w:rsidRDefault="00B9456D" w:rsidP="007376D0">
            <w:pPr>
              <w:rPr>
                <w:rFonts w:cstheme="minorHAnsi"/>
              </w:rPr>
            </w:pPr>
            <w:r w:rsidRPr="00776078">
              <w:rPr>
                <w:rFonts w:cstheme="minorHAnsi"/>
              </w:rPr>
              <w:t>Ηλεκτρικές μηχανές και συσκευές</w:t>
            </w:r>
          </w:p>
        </w:tc>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B9456D" w:rsidRPr="00776078" w:rsidRDefault="00B9456D" w:rsidP="007376D0">
            <w:pPr>
              <w:jc w:val="right"/>
              <w:rPr>
                <w:rFonts w:cstheme="minorHAnsi"/>
                <w:lang w:eastAsia="en-GB"/>
              </w:rPr>
            </w:pPr>
            <w:r w:rsidRPr="00776078">
              <w:rPr>
                <w:rFonts w:cstheme="minorHAnsi"/>
              </w:rPr>
              <w:t>1254.0</w:t>
            </w:r>
          </w:p>
        </w:tc>
        <w:tc>
          <w:tcPr>
            <w:tcW w:w="2433" w:type="dxa"/>
            <w:tcBorders>
              <w:top w:val="nil"/>
              <w:left w:val="nil"/>
              <w:bottom w:val="single" w:sz="4" w:space="0" w:color="auto"/>
              <w:right w:val="single" w:sz="4" w:space="0" w:color="auto"/>
            </w:tcBorders>
            <w:shd w:val="clear" w:color="auto" w:fill="auto"/>
            <w:noWrap/>
            <w:vAlign w:val="bottom"/>
            <w:hideMark/>
          </w:tcPr>
          <w:p w:rsidR="00B9456D" w:rsidRPr="00776078" w:rsidRDefault="00B9456D" w:rsidP="007376D0">
            <w:pPr>
              <w:rPr>
                <w:rFonts w:cstheme="minorHAnsi"/>
              </w:rPr>
            </w:pPr>
            <w:r w:rsidRPr="00776078">
              <w:rPr>
                <w:rFonts w:cstheme="minorHAnsi"/>
              </w:rPr>
              <w:t>Οδικά οχήματα</w:t>
            </w:r>
          </w:p>
        </w:tc>
        <w:tc>
          <w:tcPr>
            <w:tcW w:w="1678" w:type="dxa"/>
            <w:tcBorders>
              <w:top w:val="nil"/>
              <w:left w:val="single" w:sz="4" w:space="0" w:color="auto"/>
              <w:bottom w:val="single" w:sz="4" w:space="0" w:color="auto"/>
              <w:right w:val="single" w:sz="4" w:space="0" w:color="auto"/>
            </w:tcBorders>
            <w:shd w:val="clear" w:color="auto" w:fill="auto"/>
            <w:noWrap/>
            <w:vAlign w:val="bottom"/>
            <w:hideMark/>
          </w:tcPr>
          <w:p w:rsidR="00B9456D" w:rsidRPr="00776078" w:rsidRDefault="00B9456D" w:rsidP="007376D0">
            <w:pPr>
              <w:jc w:val="right"/>
              <w:rPr>
                <w:rFonts w:cstheme="minorHAnsi"/>
                <w:lang w:eastAsia="en-GB"/>
              </w:rPr>
            </w:pPr>
            <w:r w:rsidRPr="00776078">
              <w:rPr>
                <w:rFonts w:cstheme="minorHAnsi"/>
              </w:rPr>
              <w:t>1427.4</w:t>
            </w:r>
          </w:p>
        </w:tc>
      </w:tr>
      <w:tr w:rsidR="00B9456D" w:rsidRPr="00776078" w:rsidTr="007376D0">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56D" w:rsidRPr="00776078" w:rsidRDefault="00B9456D" w:rsidP="007376D0">
            <w:pPr>
              <w:rPr>
                <w:rFonts w:cstheme="minorHAnsi"/>
              </w:rPr>
            </w:pPr>
            <w:r w:rsidRPr="00776078">
              <w:rPr>
                <w:rFonts w:cstheme="minorHAnsi"/>
              </w:rPr>
              <w:t>Οδικά οχήματα</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56D" w:rsidRPr="00776078" w:rsidRDefault="00B9456D" w:rsidP="007376D0">
            <w:pPr>
              <w:jc w:val="right"/>
              <w:rPr>
                <w:rFonts w:cstheme="minorHAnsi"/>
              </w:rPr>
            </w:pPr>
            <w:r w:rsidRPr="00776078">
              <w:rPr>
                <w:rFonts w:cstheme="minorHAnsi"/>
              </w:rPr>
              <w:t>1176.1</w:t>
            </w:r>
          </w:p>
        </w:tc>
        <w:tc>
          <w:tcPr>
            <w:tcW w:w="2433" w:type="dxa"/>
            <w:tcBorders>
              <w:top w:val="single" w:sz="4" w:space="0" w:color="auto"/>
              <w:left w:val="nil"/>
              <w:bottom w:val="single" w:sz="4" w:space="0" w:color="auto"/>
              <w:right w:val="single" w:sz="4" w:space="0" w:color="auto"/>
            </w:tcBorders>
            <w:shd w:val="clear" w:color="auto" w:fill="auto"/>
            <w:noWrap/>
            <w:vAlign w:val="bottom"/>
            <w:hideMark/>
          </w:tcPr>
          <w:p w:rsidR="00B9456D" w:rsidRPr="00776078" w:rsidRDefault="00B9456D" w:rsidP="007376D0">
            <w:pPr>
              <w:rPr>
                <w:rFonts w:cstheme="minorHAnsi"/>
              </w:rPr>
            </w:pPr>
            <w:r w:rsidRPr="00776078">
              <w:rPr>
                <w:rFonts w:cstheme="minorHAnsi"/>
              </w:rPr>
              <w:t>Πετρέλαιο και παράγωγά του</w:t>
            </w:r>
          </w:p>
        </w:tc>
        <w:tc>
          <w:tcPr>
            <w:tcW w:w="1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56D" w:rsidRPr="00776078" w:rsidRDefault="00B9456D" w:rsidP="007376D0">
            <w:pPr>
              <w:jc w:val="right"/>
              <w:rPr>
                <w:rFonts w:cstheme="minorHAnsi"/>
              </w:rPr>
            </w:pPr>
            <w:r w:rsidRPr="00776078">
              <w:rPr>
                <w:rFonts w:cstheme="minorHAnsi"/>
              </w:rPr>
              <w:t>1125.8</w:t>
            </w:r>
          </w:p>
        </w:tc>
      </w:tr>
      <w:tr w:rsidR="00B9456D" w:rsidRPr="00776078" w:rsidTr="007376D0">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56D" w:rsidRPr="00776078" w:rsidRDefault="00B9456D" w:rsidP="007376D0">
            <w:pPr>
              <w:rPr>
                <w:rFonts w:cstheme="minorHAnsi"/>
              </w:rPr>
            </w:pPr>
            <w:r w:rsidRPr="00776078">
              <w:rPr>
                <w:rFonts w:cstheme="minorHAnsi"/>
              </w:rPr>
              <w:t>Φρούτα και λαχανικά</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56D" w:rsidRPr="00776078" w:rsidRDefault="00B9456D" w:rsidP="007376D0">
            <w:pPr>
              <w:jc w:val="right"/>
              <w:rPr>
                <w:rFonts w:cstheme="minorHAnsi"/>
              </w:rPr>
            </w:pPr>
            <w:r w:rsidRPr="00776078">
              <w:rPr>
                <w:rFonts w:cstheme="minorHAnsi"/>
              </w:rPr>
              <w:t>726.1</w:t>
            </w:r>
          </w:p>
        </w:tc>
        <w:tc>
          <w:tcPr>
            <w:tcW w:w="2433" w:type="dxa"/>
            <w:tcBorders>
              <w:top w:val="single" w:sz="4" w:space="0" w:color="auto"/>
              <w:left w:val="nil"/>
              <w:bottom w:val="single" w:sz="4" w:space="0" w:color="auto"/>
              <w:right w:val="single" w:sz="4" w:space="0" w:color="auto"/>
            </w:tcBorders>
            <w:shd w:val="clear" w:color="auto" w:fill="auto"/>
            <w:noWrap/>
            <w:vAlign w:val="bottom"/>
            <w:hideMark/>
          </w:tcPr>
          <w:p w:rsidR="00B9456D" w:rsidRPr="00776078" w:rsidRDefault="00B9456D" w:rsidP="007376D0">
            <w:pPr>
              <w:rPr>
                <w:rFonts w:cstheme="minorHAnsi"/>
              </w:rPr>
            </w:pPr>
            <w:r w:rsidRPr="00776078">
              <w:rPr>
                <w:rFonts w:cstheme="minorHAnsi"/>
              </w:rPr>
              <w:t>Ηλεκτρικές μηχανές και συσκευές</w:t>
            </w:r>
          </w:p>
        </w:tc>
        <w:tc>
          <w:tcPr>
            <w:tcW w:w="1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56D" w:rsidRPr="00776078" w:rsidRDefault="00B9456D" w:rsidP="007376D0">
            <w:pPr>
              <w:jc w:val="right"/>
              <w:rPr>
                <w:rFonts w:cstheme="minorHAnsi"/>
              </w:rPr>
            </w:pPr>
            <w:r w:rsidRPr="00776078">
              <w:rPr>
                <w:rFonts w:cstheme="minorHAnsi"/>
              </w:rPr>
              <w:t>932.5</w:t>
            </w:r>
          </w:p>
        </w:tc>
      </w:tr>
      <w:tr w:rsidR="00B9456D" w:rsidRPr="00776078" w:rsidTr="007376D0">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56D" w:rsidRPr="00776078" w:rsidRDefault="00B9456D" w:rsidP="007376D0">
            <w:pPr>
              <w:rPr>
                <w:rFonts w:cstheme="minorHAnsi"/>
              </w:rPr>
            </w:pPr>
            <w:r w:rsidRPr="00776078">
              <w:rPr>
                <w:rFonts w:cstheme="minorHAnsi"/>
              </w:rPr>
              <w:t>Μη σιδηρούχα μέταλλα</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56D" w:rsidRPr="00776078" w:rsidRDefault="00B9456D" w:rsidP="007376D0">
            <w:pPr>
              <w:jc w:val="right"/>
              <w:rPr>
                <w:rFonts w:cstheme="minorHAnsi"/>
              </w:rPr>
            </w:pPr>
            <w:r w:rsidRPr="00776078">
              <w:rPr>
                <w:rFonts w:cstheme="minorHAnsi"/>
              </w:rPr>
              <w:t>672.8</w:t>
            </w:r>
          </w:p>
        </w:tc>
        <w:tc>
          <w:tcPr>
            <w:tcW w:w="2433" w:type="dxa"/>
            <w:tcBorders>
              <w:top w:val="single" w:sz="4" w:space="0" w:color="auto"/>
              <w:left w:val="nil"/>
              <w:bottom w:val="single" w:sz="4" w:space="0" w:color="auto"/>
              <w:right w:val="single" w:sz="4" w:space="0" w:color="auto"/>
            </w:tcBorders>
            <w:shd w:val="clear" w:color="auto" w:fill="auto"/>
            <w:noWrap/>
            <w:vAlign w:val="bottom"/>
            <w:hideMark/>
          </w:tcPr>
          <w:p w:rsidR="00B9456D" w:rsidRPr="00776078" w:rsidRDefault="00B9456D" w:rsidP="007376D0">
            <w:pPr>
              <w:rPr>
                <w:rFonts w:cstheme="minorHAnsi"/>
              </w:rPr>
            </w:pPr>
            <w:r w:rsidRPr="00776078">
              <w:rPr>
                <w:rFonts w:cstheme="minorHAnsi"/>
              </w:rPr>
              <w:t>Μηχανήματα γενικής χρήσεως</w:t>
            </w:r>
          </w:p>
        </w:tc>
        <w:tc>
          <w:tcPr>
            <w:tcW w:w="1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56D" w:rsidRPr="00776078" w:rsidRDefault="00B9456D" w:rsidP="007376D0">
            <w:pPr>
              <w:jc w:val="right"/>
              <w:rPr>
                <w:rFonts w:cstheme="minorHAnsi"/>
              </w:rPr>
            </w:pPr>
            <w:r w:rsidRPr="00776078">
              <w:rPr>
                <w:rFonts w:cstheme="minorHAnsi"/>
              </w:rPr>
              <w:t>644.2</w:t>
            </w:r>
          </w:p>
        </w:tc>
      </w:tr>
      <w:tr w:rsidR="00B9456D" w:rsidRPr="00776078" w:rsidTr="007376D0">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56D" w:rsidRPr="00776078" w:rsidRDefault="00B9456D" w:rsidP="007376D0">
            <w:pPr>
              <w:rPr>
                <w:rFonts w:cstheme="minorHAnsi"/>
              </w:rPr>
            </w:pPr>
            <w:r w:rsidRPr="00776078">
              <w:rPr>
                <w:rFonts w:cstheme="minorHAnsi"/>
              </w:rPr>
              <w:t>Καουτσούκ προϊόντα και παράγωγα</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56D" w:rsidRPr="00776078" w:rsidRDefault="00B9456D" w:rsidP="007376D0">
            <w:pPr>
              <w:jc w:val="right"/>
              <w:rPr>
                <w:rFonts w:cstheme="minorHAnsi"/>
              </w:rPr>
            </w:pPr>
            <w:r w:rsidRPr="00776078">
              <w:rPr>
                <w:rFonts w:cstheme="minorHAnsi"/>
              </w:rPr>
              <w:t>624.9</w:t>
            </w:r>
          </w:p>
        </w:tc>
        <w:tc>
          <w:tcPr>
            <w:tcW w:w="2433" w:type="dxa"/>
            <w:tcBorders>
              <w:top w:val="single" w:sz="4" w:space="0" w:color="auto"/>
              <w:left w:val="nil"/>
              <w:bottom w:val="single" w:sz="4" w:space="0" w:color="auto"/>
              <w:right w:val="single" w:sz="4" w:space="0" w:color="auto"/>
            </w:tcBorders>
            <w:shd w:val="clear" w:color="auto" w:fill="auto"/>
            <w:noWrap/>
            <w:vAlign w:val="bottom"/>
            <w:hideMark/>
          </w:tcPr>
          <w:p w:rsidR="00B9456D" w:rsidRPr="00776078" w:rsidRDefault="00B9456D" w:rsidP="007376D0">
            <w:pPr>
              <w:rPr>
                <w:rFonts w:cstheme="minorHAnsi"/>
              </w:rPr>
            </w:pPr>
            <w:r w:rsidRPr="00776078">
              <w:rPr>
                <w:rFonts w:cstheme="minorHAnsi"/>
              </w:rPr>
              <w:t>Ιατρικά και φαρμακευτικά προϊόντα</w:t>
            </w:r>
          </w:p>
        </w:tc>
        <w:tc>
          <w:tcPr>
            <w:tcW w:w="1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56D" w:rsidRPr="00776078" w:rsidRDefault="00B9456D" w:rsidP="007376D0">
            <w:pPr>
              <w:jc w:val="right"/>
              <w:rPr>
                <w:rFonts w:cstheme="minorHAnsi"/>
              </w:rPr>
            </w:pPr>
            <w:r w:rsidRPr="00776078">
              <w:rPr>
                <w:rFonts w:cstheme="minorHAnsi"/>
              </w:rPr>
              <w:t>614.3</w:t>
            </w:r>
          </w:p>
        </w:tc>
      </w:tr>
    </w:tbl>
    <w:p w:rsidR="00B9456D" w:rsidRDefault="00B9456D" w:rsidP="00B9456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jc w:val="both"/>
        <w:rPr>
          <w:rFonts w:cstheme="minorHAnsi"/>
          <w:szCs w:val="24"/>
        </w:rPr>
      </w:pPr>
    </w:p>
    <w:p w:rsidR="00B9456D" w:rsidRPr="004E124B" w:rsidRDefault="00B9456D" w:rsidP="00B9456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jc w:val="both"/>
        <w:rPr>
          <w:rFonts w:cstheme="minorHAnsi"/>
          <w:szCs w:val="24"/>
        </w:rPr>
      </w:pPr>
      <w:r>
        <w:rPr>
          <w:rFonts w:cstheme="minorHAnsi"/>
          <w:szCs w:val="24"/>
        </w:rPr>
        <w:tab/>
      </w:r>
      <w:r w:rsidRPr="004E124B">
        <w:rPr>
          <w:rFonts w:cstheme="minorHAnsi"/>
          <w:szCs w:val="24"/>
        </w:rPr>
        <w:t xml:space="preserve">Παρατηρήθηκε ότι το μεγαλύτερο πλεόνασμα του εξωτερικού εμπορίου δημιουργήθηκε με τις όμορες χώρες- Βοσνία και Ερζεγοβίνη (οι εξαγωγές αφορούσαν κυρίως αέρια έλαια και ηλιέλαιο, ενώ τα πιο εισαγόμενα είναι οπτάνθρακας και </w:t>
      </w:r>
      <w:proofErr w:type="spellStart"/>
      <w:r w:rsidRPr="004E124B">
        <w:rPr>
          <w:rFonts w:cstheme="minorHAnsi"/>
          <w:szCs w:val="24"/>
        </w:rPr>
        <w:t>ημι</w:t>
      </w:r>
      <w:proofErr w:type="spellEnd"/>
      <w:r w:rsidRPr="004E124B">
        <w:rPr>
          <w:rFonts w:cstheme="minorHAnsi"/>
          <w:szCs w:val="24"/>
        </w:rPr>
        <w:t xml:space="preserve">-οπτάνθρακας από λιθάνθρακα και σύρμα σιδήρου και το χάλυβα), το Μαυροβούνιο (εξαγωγές φύλλων θερμής έλασης σε ρόλους και αυτοκίνητα ντίζελ, εισαγόμενα λιγνίτης και οίνος) και την ΠΓΔΜ (εξαγωγές φύλλων θερμής έλασης σε ρόλους και ηλιέλαιο, εισαγωγές αμπέλων και φαρμάκων). </w:t>
      </w:r>
    </w:p>
    <w:p w:rsidR="00B9456D" w:rsidRPr="004E124B" w:rsidRDefault="00B9456D" w:rsidP="00B9456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jc w:val="both"/>
        <w:rPr>
          <w:rFonts w:cstheme="minorHAnsi"/>
          <w:szCs w:val="24"/>
        </w:rPr>
      </w:pPr>
      <w:r w:rsidRPr="004E124B">
        <w:rPr>
          <w:rFonts w:cstheme="minorHAnsi"/>
          <w:szCs w:val="24"/>
        </w:rPr>
        <w:t>Όσον αφορά άλλες χώρες, σημειώθηκε επίσης πλεόνασμα στις εμπορικές συναλλαγές με τη Ρουμανία, τη Βουλγαρία, την Κροατία, την Ιταλία, τη Σλοβακία, τη Μεγάλη Βρετανία, τη Μολδαβία και τη Σουηδία. Το μεγαλύτερο έλλειμμα σημειώθηκε στις εμπορικές συναλλαγές με την Κίνα (λόγω εισαγωγών τηλεφώνων και φορητών υπολογιστών) και με τη Γερμανία, ακολουθούμενη από έλλειμμα με τη Ρωσική Ομοσπονδία (λόγω εισαγωγών ενεργειακών προϊόντων, κυρίως πετρελαίου και φυσικού αερίου), Τουρκίας, Ιράκ, Πολωνίας (εισαγωγές μερών μηχανοκίνητων οχημάτων), Ουγγαρία, Βέλγιο, Αυστρία, Τσεχική Δημοκρατία, Βιετνάμ και Ουκρανία (εισαγωγές σιδηρομεταλλεύματος και συμπυκνωμάτων).</w:t>
      </w:r>
    </w:p>
    <w:p w:rsidR="00B9456D" w:rsidRPr="004E124B" w:rsidRDefault="00B9456D" w:rsidP="00B9456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jc w:val="both"/>
        <w:rPr>
          <w:rFonts w:cstheme="minorHAnsi"/>
          <w:szCs w:val="24"/>
        </w:rPr>
      </w:pPr>
      <w:r w:rsidRPr="004E124B">
        <w:rPr>
          <w:rFonts w:cstheme="minorHAnsi"/>
          <w:szCs w:val="24"/>
        </w:rPr>
        <w:tab/>
        <w:t xml:space="preserve">Στον κατάλογο των πρώτων 5 προϊόντων στις εξαγωγές, </w:t>
      </w:r>
      <w:r>
        <w:rPr>
          <w:rFonts w:cstheme="minorHAnsi"/>
          <w:szCs w:val="24"/>
        </w:rPr>
        <w:t>στην κορυφή βρίσκονται</w:t>
      </w:r>
      <w:r w:rsidRPr="004E124B">
        <w:rPr>
          <w:rFonts w:cstheme="minorHAnsi"/>
          <w:szCs w:val="24"/>
        </w:rPr>
        <w:t xml:space="preserve"> </w:t>
      </w:r>
      <w:r>
        <w:rPr>
          <w:rFonts w:cstheme="minorHAnsi"/>
          <w:szCs w:val="24"/>
        </w:rPr>
        <w:t>τα καλώδια</w:t>
      </w:r>
      <w:r w:rsidRPr="004E124B">
        <w:rPr>
          <w:rFonts w:cstheme="minorHAnsi"/>
          <w:szCs w:val="24"/>
        </w:rPr>
        <w:t xml:space="preserve"> ανάφλεξης για αεροπλάνα, οχήματα και πλοία (88 εκατ. USD), ακολουθούμενα από εξευγενισμένο χαλκό (38 εκατ. USD). τα νέα ελαστικά για τα επιβατικά αυτοκίνητα (36 εκατομμύρια δολάρια ΗΠΑ) ήταν στην τρίτη θέση, ακολουθούμενα από εξαγωγές </w:t>
      </w:r>
      <w:r w:rsidRPr="004E124B">
        <w:rPr>
          <w:rFonts w:cstheme="minorHAnsi"/>
          <w:szCs w:val="24"/>
        </w:rPr>
        <w:lastRenderedPageBreak/>
        <w:t xml:space="preserve">προϊόντων θερμής έλασης (σίδηρος και μη </w:t>
      </w:r>
      <w:proofErr w:type="spellStart"/>
      <w:r w:rsidRPr="004E124B">
        <w:rPr>
          <w:rFonts w:cstheme="minorHAnsi"/>
          <w:szCs w:val="24"/>
        </w:rPr>
        <w:t>κραματοποιημένος</w:t>
      </w:r>
      <w:proofErr w:type="spellEnd"/>
      <w:r w:rsidRPr="004E124B">
        <w:rPr>
          <w:rFonts w:cstheme="minorHAnsi"/>
          <w:szCs w:val="24"/>
        </w:rPr>
        <w:t xml:space="preserve"> χάλυβας) σε ρόλους (31 εκατομμύρια δολάρια ΗΠΑ) και το τελευταίο στοιχείο του καταλόγου αφορούσε εξαγόμενα αυτοκίνητα , καύση κεριού, πάνω από 1000 cm 3 και κάτω από 1500 cm 3, αξίας 30 εκατ. δολαρίων.</w:t>
      </w:r>
    </w:p>
    <w:p w:rsidR="00B9456D" w:rsidRPr="004E124B" w:rsidRDefault="00B9456D" w:rsidP="00B9456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jc w:val="both"/>
        <w:rPr>
          <w:rFonts w:cstheme="minorHAnsi"/>
          <w:szCs w:val="24"/>
        </w:rPr>
      </w:pPr>
      <w:r w:rsidRPr="004E124B">
        <w:rPr>
          <w:rFonts w:cstheme="minorHAnsi"/>
          <w:szCs w:val="24"/>
        </w:rPr>
        <w:tab/>
        <w:t xml:space="preserve">Οι προοπτικές για το 2018 είναι θετικές. Ενδεικτικό της αλλαγής του επιχειρηματικού «κλίματος», η αναβάθμιση της πιστοληπτικής ικανότητας της Σερβίας από μεγάλους οίκους αξιολόγησης. Ενθαρρυντικά στοιχεία αποτελούν επίσης, τα εξής: </w:t>
      </w:r>
    </w:p>
    <w:p w:rsidR="00B9456D" w:rsidRPr="004E124B" w:rsidRDefault="00B9456D" w:rsidP="00B9456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jc w:val="both"/>
        <w:rPr>
          <w:rFonts w:cstheme="minorHAnsi"/>
          <w:szCs w:val="24"/>
        </w:rPr>
      </w:pPr>
      <w:r w:rsidRPr="004E124B">
        <w:rPr>
          <w:rFonts w:cstheme="minorHAnsi"/>
          <w:szCs w:val="24"/>
        </w:rPr>
        <w:t xml:space="preserve">- Ο δείκτης δημόσιου χρέους προς το ΑΕΠ βελτιώνεται και σταθεροποιείται συνεχώς και μετά από σημαντική πτώση το 2017 στο 62,6% του ΑΕΠ, </w:t>
      </w:r>
    </w:p>
    <w:p w:rsidR="00B9456D" w:rsidRPr="004E124B" w:rsidRDefault="00B9456D" w:rsidP="00B9456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jc w:val="both"/>
        <w:rPr>
          <w:rFonts w:cstheme="minorHAnsi"/>
          <w:szCs w:val="24"/>
        </w:rPr>
      </w:pPr>
      <w:r w:rsidRPr="004E124B">
        <w:rPr>
          <w:rFonts w:cstheme="minorHAnsi"/>
          <w:szCs w:val="24"/>
        </w:rPr>
        <w:t xml:space="preserve">- Η δημοσιονομική εξυγίανση υλοποιείται και αναμένεται να οδηγήσει σε περαιτέρω μείωση του δείκτη του δημόσιου χρέους προς το ΑΕΠ, στη συνεχή μείωση του καθαρού εξωτερικού χρέους και στη σταθερή εισροή άμεσων ξένων επενδύσεων. </w:t>
      </w:r>
    </w:p>
    <w:p w:rsidR="00B9456D" w:rsidRPr="004E124B" w:rsidRDefault="00B9456D" w:rsidP="00B9456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jc w:val="both"/>
        <w:rPr>
          <w:rFonts w:cstheme="minorHAnsi"/>
          <w:szCs w:val="24"/>
        </w:rPr>
      </w:pPr>
      <w:r w:rsidRPr="004E124B">
        <w:rPr>
          <w:rFonts w:cstheme="minorHAnsi"/>
          <w:szCs w:val="24"/>
        </w:rPr>
        <w:t>- Το άνοιγμα νέων κεφαλαίων στις διαπραγματεύσεις για την ένταξη της Σερβίας στην Ευρωπαϊκή Ένωση και η επιτυχής ολοκλήρωση του προγράμματος με το ΔΝΤ αλλά  και η περαιτέρω συνεργασία με αυτό θα αποτελέσουν τους  σημαντικότερους παράγοντες για την περαιτέρω βελτίωση του οικονομικού κλίματος στη Σερβία.</w:t>
      </w:r>
    </w:p>
    <w:p w:rsidR="00B9456D" w:rsidRDefault="00B9456D" w:rsidP="00B9456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jc w:val="both"/>
        <w:rPr>
          <w:rFonts w:cstheme="minorHAnsi"/>
          <w:szCs w:val="24"/>
        </w:rPr>
      </w:pPr>
      <w:r w:rsidRPr="004E124B">
        <w:rPr>
          <w:rFonts w:cstheme="minorHAnsi"/>
          <w:szCs w:val="24"/>
        </w:rPr>
        <w:t xml:space="preserve">- </w:t>
      </w:r>
      <w:r w:rsidRPr="004E124B">
        <w:rPr>
          <w:rFonts w:cstheme="minorHAnsi"/>
          <w:szCs w:val="24"/>
          <w:shd w:val="clear" w:color="auto" w:fill="FFFFFF"/>
        </w:rPr>
        <w:t>Τέλος, εκτός από τη μείωση του ελλείμματος του ισοζυγίου τρεχουσών συναλλαγών, αναμένεται επίσης βελτίωση της διάρθρωσης του εξωτερικού χρέους και καθαρή εισροή άμεσων ξένων επενδύσεων η οποία θα καλύψει πλήρως το έλλειμμα του ισοζυγίου τρεχουσών συναλλαγών κατά την προσεχή περίοδο .</w:t>
      </w:r>
      <w:r>
        <w:rPr>
          <w:rFonts w:cstheme="minorHAnsi"/>
          <w:szCs w:val="24"/>
          <w:shd w:val="clear" w:color="auto" w:fill="FFFFFF"/>
        </w:rPr>
        <w:t xml:space="preserve"> </w:t>
      </w:r>
      <w:r w:rsidRPr="004E124B">
        <w:rPr>
          <w:rFonts w:cstheme="minorHAnsi"/>
          <w:szCs w:val="24"/>
        </w:rPr>
        <w:t xml:space="preserve">Σε ότι αφορά τις διμερείς εμπορικές συναλλαγές και σύμφωνα με τα πλέον πρόσφατα στοιχεία της  σερβικής στατιστικής Υπηρεσία, οι εξαγωγές ης Ελλάδας προς Σερβία και οι εισαγωγές της χώρας μας από Σερβία (για την περίοδο Ιανουαρίου-Νοεμβρίου 2017) παρουσίασαν αύξηση 25,26%  και 10,16% αντίστοιχα. </w:t>
      </w:r>
      <w:r>
        <w:rPr>
          <w:rFonts w:cstheme="minorHAnsi"/>
          <w:szCs w:val="24"/>
        </w:rPr>
        <w:t xml:space="preserve"> </w:t>
      </w:r>
    </w:p>
    <w:p w:rsidR="00B9456D" w:rsidRPr="004E124B" w:rsidRDefault="00B9456D" w:rsidP="00B9456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jc w:val="both"/>
        <w:rPr>
          <w:rFonts w:cstheme="minorHAnsi"/>
          <w:szCs w:val="24"/>
        </w:rPr>
      </w:pPr>
      <w:r w:rsidRPr="004E124B">
        <w:rPr>
          <w:rFonts w:cstheme="minorHAnsi"/>
          <w:szCs w:val="24"/>
        </w:rPr>
        <w:t>Αναλυτικότερα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
        <w:gridCol w:w="1582"/>
        <w:gridCol w:w="1418"/>
        <w:gridCol w:w="1140"/>
        <w:gridCol w:w="915"/>
        <w:gridCol w:w="1069"/>
        <w:gridCol w:w="1035"/>
        <w:gridCol w:w="944"/>
      </w:tblGrid>
      <w:tr w:rsidR="00B9456D" w:rsidRPr="00D411BB" w:rsidTr="007376D0">
        <w:trPr>
          <w:trHeight w:val="223"/>
        </w:trPr>
        <w:tc>
          <w:tcPr>
            <w:tcW w:w="9498" w:type="dxa"/>
            <w:gridSpan w:val="8"/>
          </w:tcPr>
          <w:p w:rsidR="00B9456D" w:rsidRPr="004E124B" w:rsidRDefault="00B9456D" w:rsidP="00B9456D">
            <w:pPr>
              <w:spacing w:before="100" w:beforeAutospacing="1" w:after="100" w:afterAutospacing="1" w:line="360" w:lineRule="auto"/>
              <w:ind w:firstLine="720"/>
              <w:contextualSpacing/>
              <w:jc w:val="center"/>
              <w:outlineLvl w:val="0"/>
              <w:rPr>
                <w:rFonts w:cstheme="minorHAnsi"/>
                <w:i/>
                <w:szCs w:val="24"/>
              </w:rPr>
            </w:pPr>
            <w:r w:rsidRPr="004E124B">
              <w:rPr>
                <w:rFonts w:cstheme="minorHAnsi"/>
                <w:i/>
                <w:szCs w:val="24"/>
              </w:rPr>
              <w:t xml:space="preserve">Διμερές Εμπόριο Σερβίας –Ελλάδος (Ιανουάριος-Νοέμβριος 2017) σε </w:t>
            </w:r>
            <w:r w:rsidRPr="004E124B">
              <w:rPr>
                <w:rFonts w:cstheme="minorHAnsi"/>
                <w:b/>
                <w:i/>
                <w:szCs w:val="24"/>
                <w:u w:val="single"/>
              </w:rPr>
              <w:t xml:space="preserve">εκατ. </w:t>
            </w:r>
            <w:proofErr w:type="spellStart"/>
            <w:r w:rsidRPr="004E124B">
              <w:rPr>
                <w:rFonts w:cstheme="minorHAnsi"/>
                <w:b/>
                <w:i/>
                <w:szCs w:val="24"/>
                <w:u w:val="single"/>
              </w:rPr>
              <w:t>δολ</w:t>
            </w:r>
            <w:proofErr w:type="spellEnd"/>
            <w:r>
              <w:rPr>
                <w:rFonts w:cstheme="minorHAnsi"/>
                <w:b/>
                <w:i/>
                <w:szCs w:val="24"/>
                <w:u w:val="single"/>
              </w:rPr>
              <w:t>*</w:t>
            </w:r>
          </w:p>
        </w:tc>
      </w:tr>
      <w:tr w:rsidR="00B9456D" w:rsidRPr="00D411BB" w:rsidTr="007376D0">
        <w:trPr>
          <w:trHeight w:val="541"/>
        </w:trPr>
        <w:tc>
          <w:tcPr>
            <w:tcW w:w="2977" w:type="dxa"/>
            <w:gridSpan w:val="2"/>
          </w:tcPr>
          <w:p w:rsidR="00B9456D" w:rsidRPr="004E124B" w:rsidRDefault="00B9456D" w:rsidP="007376D0">
            <w:pPr>
              <w:spacing w:before="100" w:beforeAutospacing="1" w:after="100" w:afterAutospacing="1" w:line="360" w:lineRule="auto"/>
              <w:ind w:firstLine="20"/>
              <w:contextualSpacing/>
              <w:outlineLvl w:val="0"/>
              <w:rPr>
                <w:rFonts w:cstheme="minorHAnsi"/>
                <w:b/>
                <w:szCs w:val="24"/>
              </w:rPr>
            </w:pPr>
            <w:r w:rsidRPr="004E124B">
              <w:rPr>
                <w:rFonts w:cstheme="minorHAnsi"/>
                <w:b/>
                <w:szCs w:val="24"/>
              </w:rPr>
              <w:t>Εξαγωγές (από Σερβία προς Ελλάδα)</w:t>
            </w:r>
          </w:p>
        </w:tc>
        <w:tc>
          <w:tcPr>
            <w:tcW w:w="2558" w:type="dxa"/>
            <w:gridSpan w:val="2"/>
          </w:tcPr>
          <w:p w:rsidR="00B9456D" w:rsidRPr="004E124B" w:rsidRDefault="00B9456D" w:rsidP="007376D0">
            <w:pPr>
              <w:spacing w:before="100" w:beforeAutospacing="1" w:after="100" w:afterAutospacing="1" w:line="360" w:lineRule="auto"/>
              <w:contextualSpacing/>
              <w:outlineLvl w:val="0"/>
              <w:rPr>
                <w:rFonts w:cstheme="minorHAnsi"/>
                <w:b/>
                <w:szCs w:val="24"/>
              </w:rPr>
            </w:pPr>
            <w:r w:rsidRPr="004E124B">
              <w:rPr>
                <w:rFonts w:cstheme="minorHAnsi"/>
                <w:b/>
                <w:szCs w:val="24"/>
              </w:rPr>
              <w:t>Εισαγωγές ( Ελλάδος από Σερβία)</w:t>
            </w:r>
          </w:p>
        </w:tc>
        <w:tc>
          <w:tcPr>
            <w:tcW w:w="1984" w:type="dxa"/>
            <w:gridSpan w:val="2"/>
          </w:tcPr>
          <w:p w:rsidR="00B9456D" w:rsidRPr="004E124B" w:rsidRDefault="00B9456D" w:rsidP="007376D0">
            <w:pPr>
              <w:spacing w:before="100" w:beforeAutospacing="1" w:after="100" w:afterAutospacing="1" w:line="360" w:lineRule="auto"/>
              <w:contextualSpacing/>
              <w:outlineLvl w:val="0"/>
              <w:rPr>
                <w:rFonts w:cstheme="minorHAnsi"/>
                <w:szCs w:val="24"/>
              </w:rPr>
            </w:pPr>
            <w:r w:rsidRPr="004E124B">
              <w:rPr>
                <w:rFonts w:cstheme="minorHAnsi"/>
                <w:szCs w:val="24"/>
              </w:rPr>
              <w:t>% επί του συνόλου των σερβικών εξαγωγών</w:t>
            </w:r>
          </w:p>
        </w:tc>
        <w:tc>
          <w:tcPr>
            <w:tcW w:w="1979" w:type="dxa"/>
            <w:gridSpan w:val="2"/>
          </w:tcPr>
          <w:p w:rsidR="00B9456D" w:rsidRPr="004E124B" w:rsidRDefault="00B9456D" w:rsidP="007376D0">
            <w:pPr>
              <w:spacing w:before="100" w:beforeAutospacing="1" w:after="100" w:afterAutospacing="1" w:line="360" w:lineRule="auto"/>
              <w:contextualSpacing/>
              <w:outlineLvl w:val="0"/>
              <w:rPr>
                <w:rFonts w:cstheme="minorHAnsi"/>
                <w:szCs w:val="24"/>
              </w:rPr>
            </w:pPr>
            <w:r w:rsidRPr="004E124B">
              <w:rPr>
                <w:rFonts w:cstheme="minorHAnsi"/>
                <w:szCs w:val="24"/>
              </w:rPr>
              <w:t>% επί του συνόλου των σερβικών εισαγωγών</w:t>
            </w:r>
          </w:p>
        </w:tc>
      </w:tr>
      <w:tr w:rsidR="00B9456D" w:rsidRPr="004E124B" w:rsidTr="007376D0">
        <w:trPr>
          <w:trHeight w:val="281"/>
        </w:trPr>
        <w:tc>
          <w:tcPr>
            <w:tcW w:w="1395" w:type="dxa"/>
          </w:tcPr>
          <w:p w:rsidR="00B9456D" w:rsidRPr="004E124B" w:rsidRDefault="00B9456D" w:rsidP="007376D0">
            <w:pPr>
              <w:jc w:val="center"/>
              <w:outlineLvl w:val="0"/>
              <w:rPr>
                <w:rFonts w:cstheme="minorHAnsi"/>
                <w:b/>
                <w:szCs w:val="24"/>
              </w:rPr>
            </w:pPr>
            <w:r w:rsidRPr="004E124B">
              <w:rPr>
                <w:rFonts w:cstheme="minorHAnsi"/>
                <w:b/>
                <w:szCs w:val="24"/>
              </w:rPr>
              <w:t>2016</w:t>
            </w:r>
          </w:p>
        </w:tc>
        <w:tc>
          <w:tcPr>
            <w:tcW w:w="1582" w:type="dxa"/>
          </w:tcPr>
          <w:p w:rsidR="00B9456D" w:rsidRPr="004E124B" w:rsidRDefault="00B9456D" w:rsidP="007376D0">
            <w:pPr>
              <w:jc w:val="center"/>
              <w:outlineLvl w:val="0"/>
              <w:rPr>
                <w:rFonts w:cstheme="minorHAnsi"/>
                <w:b/>
                <w:szCs w:val="24"/>
              </w:rPr>
            </w:pPr>
            <w:r w:rsidRPr="004E124B">
              <w:rPr>
                <w:rFonts w:cstheme="minorHAnsi"/>
                <w:b/>
                <w:szCs w:val="24"/>
              </w:rPr>
              <w:t>2017</w:t>
            </w:r>
          </w:p>
        </w:tc>
        <w:tc>
          <w:tcPr>
            <w:tcW w:w="1418" w:type="dxa"/>
          </w:tcPr>
          <w:p w:rsidR="00B9456D" w:rsidRPr="004E124B" w:rsidRDefault="00B9456D" w:rsidP="007376D0">
            <w:pPr>
              <w:jc w:val="center"/>
              <w:outlineLvl w:val="0"/>
              <w:rPr>
                <w:rFonts w:cstheme="minorHAnsi"/>
                <w:b/>
                <w:szCs w:val="24"/>
              </w:rPr>
            </w:pPr>
            <w:r w:rsidRPr="004E124B">
              <w:rPr>
                <w:rFonts w:cstheme="minorHAnsi"/>
                <w:b/>
                <w:szCs w:val="24"/>
              </w:rPr>
              <w:t>2016</w:t>
            </w:r>
          </w:p>
        </w:tc>
        <w:tc>
          <w:tcPr>
            <w:tcW w:w="1140" w:type="dxa"/>
          </w:tcPr>
          <w:p w:rsidR="00B9456D" w:rsidRPr="004E124B" w:rsidRDefault="00B9456D" w:rsidP="007376D0">
            <w:pPr>
              <w:jc w:val="center"/>
              <w:outlineLvl w:val="0"/>
              <w:rPr>
                <w:rFonts w:cstheme="minorHAnsi"/>
                <w:b/>
                <w:szCs w:val="24"/>
              </w:rPr>
            </w:pPr>
            <w:r w:rsidRPr="004E124B">
              <w:rPr>
                <w:rFonts w:cstheme="minorHAnsi"/>
                <w:b/>
                <w:szCs w:val="24"/>
              </w:rPr>
              <w:t>2017</w:t>
            </w:r>
          </w:p>
        </w:tc>
        <w:tc>
          <w:tcPr>
            <w:tcW w:w="915" w:type="dxa"/>
          </w:tcPr>
          <w:p w:rsidR="00B9456D" w:rsidRPr="004E124B" w:rsidRDefault="00B9456D" w:rsidP="007376D0">
            <w:pPr>
              <w:jc w:val="center"/>
              <w:outlineLvl w:val="0"/>
              <w:rPr>
                <w:rFonts w:cstheme="minorHAnsi"/>
                <w:b/>
                <w:szCs w:val="24"/>
              </w:rPr>
            </w:pPr>
            <w:r w:rsidRPr="004E124B">
              <w:rPr>
                <w:rFonts w:cstheme="minorHAnsi"/>
                <w:b/>
                <w:szCs w:val="24"/>
              </w:rPr>
              <w:t>2016</w:t>
            </w:r>
          </w:p>
        </w:tc>
        <w:tc>
          <w:tcPr>
            <w:tcW w:w="1069" w:type="dxa"/>
          </w:tcPr>
          <w:p w:rsidR="00B9456D" w:rsidRPr="004E124B" w:rsidRDefault="00B9456D" w:rsidP="007376D0">
            <w:pPr>
              <w:jc w:val="center"/>
              <w:outlineLvl w:val="0"/>
              <w:rPr>
                <w:rFonts w:cstheme="minorHAnsi"/>
                <w:b/>
                <w:szCs w:val="24"/>
              </w:rPr>
            </w:pPr>
            <w:r w:rsidRPr="004E124B">
              <w:rPr>
                <w:rFonts w:cstheme="minorHAnsi"/>
                <w:b/>
                <w:szCs w:val="24"/>
              </w:rPr>
              <w:t>2017</w:t>
            </w:r>
          </w:p>
        </w:tc>
        <w:tc>
          <w:tcPr>
            <w:tcW w:w="1035" w:type="dxa"/>
          </w:tcPr>
          <w:p w:rsidR="00B9456D" w:rsidRPr="004E124B" w:rsidRDefault="00B9456D" w:rsidP="007376D0">
            <w:pPr>
              <w:jc w:val="center"/>
              <w:outlineLvl w:val="0"/>
              <w:rPr>
                <w:rFonts w:cstheme="minorHAnsi"/>
                <w:b/>
                <w:szCs w:val="24"/>
              </w:rPr>
            </w:pPr>
            <w:r w:rsidRPr="004E124B">
              <w:rPr>
                <w:rFonts w:cstheme="minorHAnsi"/>
                <w:b/>
                <w:szCs w:val="24"/>
              </w:rPr>
              <w:t>2016</w:t>
            </w:r>
          </w:p>
        </w:tc>
        <w:tc>
          <w:tcPr>
            <w:tcW w:w="944" w:type="dxa"/>
          </w:tcPr>
          <w:p w:rsidR="00B9456D" w:rsidRPr="004E124B" w:rsidRDefault="00B9456D" w:rsidP="007376D0">
            <w:pPr>
              <w:jc w:val="center"/>
              <w:outlineLvl w:val="0"/>
              <w:rPr>
                <w:rFonts w:cstheme="minorHAnsi"/>
                <w:b/>
                <w:szCs w:val="24"/>
              </w:rPr>
            </w:pPr>
            <w:r w:rsidRPr="004E124B">
              <w:rPr>
                <w:rFonts w:cstheme="minorHAnsi"/>
                <w:b/>
                <w:szCs w:val="24"/>
              </w:rPr>
              <w:t>2017</w:t>
            </w:r>
          </w:p>
        </w:tc>
      </w:tr>
      <w:tr w:rsidR="00B9456D" w:rsidRPr="004E124B" w:rsidTr="007376D0">
        <w:trPr>
          <w:trHeight w:val="447"/>
        </w:trPr>
        <w:tc>
          <w:tcPr>
            <w:tcW w:w="1395" w:type="dxa"/>
          </w:tcPr>
          <w:p w:rsidR="00B9456D" w:rsidRPr="004E124B" w:rsidRDefault="00B9456D" w:rsidP="007376D0">
            <w:pPr>
              <w:jc w:val="center"/>
              <w:outlineLvl w:val="0"/>
              <w:rPr>
                <w:rFonts w:cstheme="minorHAnsi"/>
                <w:i/>
                <w:szCs w:val="24"/>
              </w:rPr>
            </w:pPr>
            <w:r w:rsidRPr="004E124B">
              <w:rPr>
                <w:rFonts w:cstheme="minorHAnsi"/>
                <w:i/>
                <w:szCs w:val="24"/>
              </w:rPr>
              <w:t>136,2</w:t>
            </w:r>
          </w:p>
        </w:tc>
        <w:tc>
          <w:tcPr>
            <w:tcW w:w="1582" w:type="dxa"/>
          </w:tcPr>
          <w:p w:rsidR="00B9456D" w:rsidRPr="004E124B" w:rsidRDefault="00B9456D" w:rsidP="007376D0">
            <w:pPr>
              <w:jc w:val="center"/>
              <w:outlineLvl w:val="0"/>
              <w:rPr>
                <w:rFonts w:cstheme="minorHAnsi"/>
                <w:i/>
                <w:szCs w:val="24"/>
              </w:rPr>
            </w:pPr>
            <w:r w:rsidRPr="004E124B">
              <w:rPr>
                <w:rFonts w:cstheme="minorHAnsi"/>
                <w:i/>
                <w:szCs w:val="24"/>
              </w:rPr>
              <w:t>170,6</w:t>
            </w:r>
          </w:p>
        </w:tc>
        <w:tc>
          <w:tcPr>
            <w:tcW w:w="1418" w:type="dxa"/>
          </w:tcPr>
          <w:p w:rsidR="00B9456D" w:rsidRPr="004E124B" w:rsidRDefault="00B9456D" w:rsidP="007376D0">
            <w:pPr>
              <w:jc w:val="center"/>
              <w:outlineLvl w:val="0"/>
              <w:rPr>
                <w:rFonts w:cstheme="minorHAnsi"/>
                <w:i/>
                <w:szCs w:val="24"/>
              </w:rPr>
            </w:pPr>
            <w:r w:rsidRPr="004E124B">
              <w:rPr>
                <w:rFonts w:cstheme="minorHAnsi"/>
                <w:i/>
                <w:szCs w:val="24"/>
              </w:rPr>
              <w:t>262,8</w:t>
            </w:r>
          </w:p>
        </w:tc>
        <w:tc>
          <w:tcPr>
            <w:tcW w:w="1140" w:type="dxa"/>
          </w:tcPr>
          <w:p w:rsidR="00B9456D" w:rsidRPr="004E124B" w:rsidRDefault="00B9456D" w:rsidP="007376D0">
            <w:pPr>
              <w:jc w:val="center"/>
              <w:outlineLvl w:val="0"/>
              <w:rPr>
                <w:rFonts w:cstheme="minorHAnsi"/>
                <w:i/>
                <w:szCs w:val="24"/>
              </w:rPr>
            </w:pPr>
            <w:r w:rsidRPr="004E124B">
              <w:rPr>
                <w:rFonts w:cstheme="minorHAnsi"/>
                <w:i/>
                <w:szCs w:val="24"/>
              </w:rPr>
              <w:t>289,5</w:t>
            </w:r>
          </w:p>
        </w:tc>
        <w:tc>
          <w:tcPr>
            <w:tcW w:w="915" w:type="dxa"/>
          </w:tcPr>
          <w:p w:rsidR="00B9456D" w:rsidRPr="004E124B" w:rsidRDefault="00B9456D" w:rsidP="007376D0">
            <w:pPr>
              <w:jc w:val="center"/>
              <w:outlineLvl w:val="0"/>
              <w:rPr>
                <w:rFonts w:cstheme="minorHAnsi"/>
                <w:i/>
                <w:szCs w:val="24"/>
              </w:rPr>
            </w:pPr>
            <w:r w:rsidRPr="004E124B">
              <w:rPr>
                <w:rFonts w:cstheme="minorHAnsi"/>
                <w:i/>
                <w:szCs w:val="24"/>
              </w:rPr>
              <w:t>1,0</w:t>
            </w:r>
          </w:p>
        </w:tc>
        <w:tc>
          <w:tcPr>
            <w:tcW w:w="1069" w:type="dxa"/>
          </w:tcPr>
          <w:p w:rsidR="00B9456D" w:rsidRPr="004E124B" w:rsidRDefault="00B9456D" w:rsidP="007376D0">
            <w:pPr>
              <w:jc w:val="center"/>
              <w:outlineLvl w:val="0"/>
              <w:rPr>
                <w:rFonts w:cstheme="minorHAnsi"/>
                <w:i/>
                <w:szCs w:val="24"/>
              </w:rPr>
            </w:pPr>
            <w:r w:rsidRPr="004E124B">
              <w:rPr>
                <w:rFonts w:cstheme="minorHAnsi"/>
                <w:i/>
                <w:szCs w:val="24"/>
              </w:rPr>
              <w:t>1,1</w:t>
            </w:r>
          </w:p>
        </w:tc>
        <w:tc>
          <w:tcPr>
            <w:tcW w:w="1035" w:type="dxa"/>
          </w:tcPr>
          <w:p w:rsidR="00B9456D" w:rsidRPr="004E124B" w:rsidRDefault="00B9456D" w:rsidP="007376D0">
            <w:pPr>
              <w:jc w:val="center"/>
              <w:outlineLvl w:val="0"/>
              <w:rPr>
                <w:rFonts w:cstheme="minorHAnsi"/>
                <w:i/>
                <w:szCs w:val="24"/>
              </w:rPr>
            </w:pPr>
            <w:r w:rsidRPr="004E124B">
              <w:rPr>
                <w:rFonts w:cstheme="minorHAnsi"/>
                <w:i/>
                <w:szCs w:val="24"/>
              </w:rPr>
              <w:t>1,5</w:t>
            </w:r>
          </w:p>
        </w:tc>
        <w:tc>
          <w:tcPr>
            <w:tcW w:w="944" w:type="dxa"/>
          </w:tcPr>
          <w:p w:rsidR="00B9456D" w:rsidRPr="004E124B" w:rsidRDefault="00B9456D" w:rsidP="007376D0">
            <w:pPr>
              <w:jc w:val="center"/>
              <w:outlineLvl w:val="0"/>
              <w:rPr>
                <w:rFonts w:cstheme="minorHAnsi"/>
                <w:i/>
                <w:szCs w:val="24"/>
              </w:rPr>
            </w:pPr>
            <w:r w:rsidRPr="004E124B">
              <w:rPr>
                <w:rFonts w:cstheme="minorHAnsi"/>
                <w:i/>
                <w:szCs w:val="24"/>
              </w:rPr>
              <w:t>1,5</w:t>
            </w:r>
          </w:p>
        </w:tc>
      </w:tr>
    </w:tbl>
    <w:p w:rsidR="0046694C" w:rsidRDefault="0046694C" w:rsidP="00B9456D">
      <w:pPr>
        <w:rPr>
          <w:b/>
          <w:i/>
          <w:sz w:val="24"/>
          <w:szCs w:val="24"/>
        </w:rPr>
      </w:pPr>
    </w:p>
    <w:p w:rsidR="00B9456D" w:rsidRDefault="00B9456D" w:rsidP="00B9456D">
      <w:pPr>
        <w:pStyle w:val="a5"/>
        <w:spacing w:before="100" w:beforeAutospacing="1" w:after="100" w:afterAutospacing="1"/>
        <w:contextualSpacing/>
        <w:rPr>
          <w:rFonts w:asciiTheme="minorHAnsi" w:hAnsiTheme="minorHAnsi" w:cstheme="minorHAnsi"/>
          <w:i/>
          <w:sz w:val="16"/>
          <w:szCs w:val="16"/>
          <w:lang w:val="el-GR"/>
        </w:rPr>
      </w:pPr>
      <w:r>
        <w:rPr>
          <w:rFonts w:asciiTheme="minorHAnsi" w:hAnsiTheme="minorHAnsi" w:cstheme="minorHAnsi"/>
          <w:i/>
          <w:sz w:val="16"/>
          <w:szCs w:val="16"/>
          <w:lang w:val="el-GR"/>
        </w:rPr>
        <w:t xml:space="preserve"> *</w:t>
      </w:r>
      <w:r w:rsidRPr="00112889">
        <w:rPr>
          <w:rFonts w:asciiTheme="minorHAnsi" w:hAnsiTheme="minorHAnsi" w:cstheme="minorHAnsi"/>
          <w:i/>
          <w:sz w:val="16"/>
          <w:szCs w:val="16"/>
          <w:lang w:val="el-GR"/>
        </w:rPr>
        <w:t>Στοιχεία από Στατιστική Υπηρεσία Σερβίας,</w:t>
      </w:r>
    </w:p>
    <w:p w:rsidR="00B9456D" w:rsidRPr="00B41C5A" w:rsidRDefault="00B9456D" w:rsidP="00B9456D">
      <w:pPr>
        <w:pStyle w:val="a5"/>
        <w:spacing w:before="100" w:beforeAutospacing="1" w:after="100" w:afterAutospacing="1"/>
        <w:contextualSpacing/>
        <w:rPr>
          <w:b/>
          <w:i/>
          <w:sz w:val="24"/>
          <w:szCs w:val="24"/>
          <w:lang w:val="el-GR"/>
        </w:rPr>
      </w:pPr>
      <w:r w:rsidRPr="00112889">
        <w:rPr>
          <w:rStyle w:val="a4"/>
          <w:rFonts w:asciiTheme="minorHAnsi" w:hAnsiTheme="minorHAnsi" w:cstheme="minorHAnsi"/>
          <w:sz w:val="16"/>
          <w:szCs w:val="16"/>
          <w:lang w:val="el-GR"/>
        </w:rPr>
        <w:t xml:space="preserve"> </w:t>
      </w:r>
      <w:r>
        <w:rPr>
          <w:rFonts w:asciiTheme="minorHAnsi" w:hAnsiTheme="minorHAnsi" w:cstheme="minorHAnsi"/>
          <w:sz w:val="16"/>
          <w:szCs w:val="16"/>
          <w:lang w:val="el-GR"/>
        </w:rPr>
        <w:t xml:space="preserve">* </w:t>
      </w:r>
      <w:r w:rsidRPr="00112889">
        <w:rPr>
          <w:rFonts w:asciiTheme="minorHAnsi" w:hAnsiTheme="minorHAnsi" w:cstheme="minorHAnsi"/>
          <w:sz w:val="16"/>
          <w:szCs w:val="16"/>
          <w:lang w:val="el-GR"/>
        </w:rPr>
        <w:t>Στοιχεία από την Τράπεζα της Σερβίας</w:t>
      </w:r>
    </w:p>
    <w:sectPr w:rsidR="00B9456D" w:rsidRPr="00B41C5A" w:rsidSect="00D24D2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F1D" w:rsidRDefault="006C7F1D" w:rsidP="0046694C">
      <w:pPr>
        <w:spacing w:after="0" w:line="240" w:lineRule="auto"/>
      </w:pPr>
      <w:r>
        <w:separator/>
      </w:r>
    </w:p>
  </w:endnote>
  <w:endnote w:type="continuationSeparator" w:id="0">
    <w:p w:rsidR="006C7F1D" w:rsidRDefault="006C7F1D" w:rsidP="0046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Sans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F1D" w:rsidRDefault="006C7F1D" w:rsidP="0046694C">
      <w:pPr>
        <w:spacing w:after="0" w:line="240" w:lineRule="auto"/>
      </w:pPr>
      <w:r>
        <w:separator/>
      </w:r>
    </w:p>
  </w:footnote>
  <w:footnote w:type="continuationSeparator" w:id="0">
    <w:p w:rsidR="006C7F1D" w:rsidRDefault="006C7F1D" w:rsidP="004669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94C"/>
    <w:rsid w:val="00112889"/>
    <w:rsid w:val="0046694C"/>
    <w:rsid w:val="006C7F1D"/>
    <w:rsid w:val="00766217"/>
    <w:rsid w:val="00B41C5A"/>
    <w:rsid w:val="00B9456D"/>
    <w:rsid w:val="00BC39BC"/>
    <w:rsid w:val="00D24D28"/>
    <w:rsid w:val="00DF3390"/>
    <w:rsid w:val="00DF70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unhideWhenUsed/>
    <w:rsid w:val="0046694C"/>
    <w:pPr>
      <w:spacing w:after="0" w:line="240" w:lineRule="auto"/>
    </w:pPr>
    <w:rPr>
      <w:rFonts w:ascii="Times New Roman" w:eastAsia="Times New Roman" w:hAnsi="Times New Roman" w:cs="Times New Roman"/>
      <w:sz w:val="20"/>
      <w:szCs w:val="20"/>
    </w:rPr>
  </w:style>
  <w:style w:type="character" w:customStyle="1" w:styleId="Char">
    <w:name w:val="Κείμενο σημείωσης τέλους Char"/>
    <w:basedOn w:val="a0"/>
    <w:link w:val="a3"/>
    <w:uiPriority w:val="99"/>
    <w:rsid w:val="0046694C"/>
    <w:rPr>
      <w:rFonts w:ascii="Times New Roman" w:eastAsia="Times New Roman" w:hAnsi="Times New Roman" w:cs="Times New Roman"/>
      <w:sz w:val="20"/>
      <w:szCs w:val="20"/>
      <w:lang w:eastAsia="el-GR"/>
    </w:rPr>
  </w:style>
  <w:style w:type="character" w:styleId="a4">
    <w:name w:val="endnote reference"/>
    <w:basedOn w:val="a0"/>
    <w:uiPriority w:val="99"/>
    <w:unhideWhenUsed/>
    <w:rsid w:val="0046694C"/>
    <w:rPr>
      <w:vertAlign w:val="superscript"/>
    </w:rPr>
  </w:style>
  <w:style w:type="paragraph" w:styleId="a5">
    <w:name w:val="footnote text"/>
    <w:basedOn w:val="a"/>
    <w:link w:val="Char0"/>
    <w:rsid w:val="0046694C"/>
    <w:pPr>
      <w:spacing w:after="0" w:line="240" w:lineRule="auto"/>
    </w:pPr>
    <w:rPr>
      <w:rFonts w:ascii="PA-SansSerif" w:eastAsia="Times New Roman" w:hAnsi="PA-SansSerif" w:cs="Times New Roman"/>
      <w:sz w:val="20"/>
      <w:szCs w:val="20"/>
      <w:lang w:val="en-GB"/>
    </w:rPr>
  </w:style>
  <w:style w:type="character" w:customStyle="1" w:styleId="Char0">
    <w:name w:val="Κείμενο υποσημείωσης Char"/>
    <w:basedOn w:val="a0"/>
    <w:link w:val="a5"/>
    <w:rsid w:val="0046694C"/>
    <w:rPr>
      <w:rFonts w:ascii="PA-SansSerif" w:eastAsia="Times New Roman" w:hAnsi="PA-SansSerif" w:cs="Times New Roman"/>
      <w:sz w:val="20"/>
      <w:szCs w:val="20"/>
      <w:lang w:val="en-GB"/>
    </w:rPr>
  </w:style>
  <w:style w:type="character" w:styleId="a6">
    <w:name w:val="footnote reference"/>
    <w:basedOn w:val="a0"/>
    <w:rsid w:val="0046694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unhideWhenUsed/>
    <w:rsid w:val="0046694C"/>
    <w:pPr>
      <w:spacing w:after="0" w:line="240" w:lineRule="auto"/>
    </w:pPr>
    <w:rPr>
      <w:rFonts w:ascii="Times New Roman" w:eastAsia="Times New Roman" w:hAnsi="Times New Roman" w:cs="Times New Roman"/>
      <w:sz w:val="20"/>
      <w:szCs w:val="20"/>
    </w:rPr>
  </w:style>
  <w:style w:type="character" w:customStyle="1" w:styleId="Char">
    <w:name w:val="Κείμενο σημείωσης τέλους Char"/>
    <w:basedOn w:val="a0"/>
    <w:link w:val="a3"/>
    <w:uiPriority w:val="99"/>
    <w:rsid w:val="0046694C"/>
    <w:rPr>
      <w:rFonts w:ascii="Times New Roman" w:eastAsia="Times New Roman" w:hAnsi="Times New Roman" w:cs="Times New Roman"/>
      <w:sz w:val="20"/>
      <w:szCs w:val="20"/>
      <w:lang w:eastAsia="el-GR"/>
    </w:rPr>
  </w:style>
  <w:style w:type="character" w:styleId="a4">
    <w:name w:val="endnote reference"/>
    <w:basedOn w:val="a0"/>
    <w:uiPriority w:val="99"/>
    <w:unhideWhenUsed/>
    <w:rsid w:val="0046694C"/>
    <w:rPr>
      <w:vertAlign w:val="superscript"/>
    </w:rPr>
  </w:style>
  <w:style w:type="paragraph" w:styleId="a5">
    <w:name w:val="footnote text"/>
    <w:basedOn w:val="a"/>
    <w:link w:val="Char0"/>
    <w:rsid w:val="0046694C"/>
    <w:pPr>
      <w:spacing w:after="0" w:line="240" w:lineRule="auto"/>
    </w:pPr>
    <w:rPr>
      <w:rFonts w:ascii="PA-SansSerif" w:eastAsia="Times New Roman" w:hAnsi="PA-SansSerif" w:cs="Times New Roman"/>
      <w:sz w:val="20"/>
      <w:szCs w:val="20"/>
      <w:lang w:val="en-GB"/>
    </w:rPr>
  </w:style>
  <w:style w:type="character" w:customStyle="1" w:styleId="Char0">
    <w:name w:val="Κείμενο υποσημείωσης Char"/>
    <w:basedOn w:val="a0"/>
    <w:link w:val="a5"/>
    <w:rsid w:val="0046694C"/>
    <w:rPr>
      <w:rFonts w:ascii="PA-SansSerif" w:eastAsia="Times New Roman" w:hAnsi="PA-SansSerif" w:cs="Times New Roman"/>
      <w:sz w:val="20"/>
      <w:szCs w:val="20"/>
      <w:lang w:val="en-GB"/>
    </w:rPr>
  </w:style>
  <w:style w:type="character" w:styleId="a6">
    <w:name w:val="footnote reference"/>
    <w:basedOn w:val="a0"/>
    <w:rsid w:val="004669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950</Words>
  <Characters>5131</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2018-01-12T07:14:00Z</dcterms:created>
  <dcterms:modified xsi:type="dcterms:W3CDTF">2018-01-12T07:14:00Z</dcterms:modified>
</cp:coreProperties>
</file>