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030"/>
      </w:tblGrid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Cambria" w:hAnsi="Cambria" w:asciiTheme="majorHAnsi" w:hAnsiTheme="majorHAnsi"/>
                <w:lang w:val="el-GR"/>
              </w:rPr>
            </w:pPr>
            <w:r>
              <w:rPr/>
              <w:drawing>
                <wp:inline distT="0" distB="0" distL="0" distR="0">
                  <wp:extent cx="639445" cy="59055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376" b="4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ΠΡΕΣΒΕΙΑ THΣ ΕΛΛΑΔOΣ ΣΤΟ ΒΟΥΚΟΥΡΕΣΤΙ</w:t>
            </w:r>
          </w:p>
          <w:p>
            <w:pPr>
              <w:pStyle w:val="Heading1"/>
              <w:spacing w:lineRule="auto" w:line="276" w:before="0" w:after="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cs="Times New Roman" w:ascii="Georgia" w:hAnsi="Georgia"/>
                <w:sz w:val="22"/>
                <w:szCs w:val="22"/>
                <w:lang w:val="el-GR"/>
              </w:rPr>
              <w:t>ΓΡΑΦΕΙΟ ΟΙΚΟΝΟΜΙΚΩΝ &amp; ΕΜΠΟΡΙΚΩΝ ΥΠΟΘΕΣΕΩΝ</w:t>
            </w:r>
          </w:p>
          <w:p>
            <w:pPr>
              <w:pStyle w:val="Normal"/>
              <w:spacing w:lineRule="auto" w:line="276"/>
              <w:jc w:val="center"/>
              <w:rPr>
                <w:rFonts w:ascii="Cambria" w:hAnsi="Cambria" w:asciiTheme="majorHAnsi" w:hAnsiTheme="majorHAnsi"/>
                <w:i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ajorHAnsi" w:hAnsiTheme="majorHAnsi" w:ascii="Cambria" w:hAnsi="Cambria"/>
                <w:i/>
                <w:iCs/>
                <w:sz w:val="22"/>
                <w:szCs w:val="22"/>
                <w:lang w:val="el-GR"/>
              </w:rPr>
            </w:r>
          </w:p>
        </w:tc>
      </w:tr>
    </w:tbl>
    <w:p>
      <w:pPr>
        <w:pStyle w:val="Normal"/>
        <w:spacing w:lineRule="auto" w:line="276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ΑΔΙΑΒΑΘΜΗΤΟ</w:t>
      </w:r>
    </w:p>
    <w:p>
      <w:pPr>
        <w:pStyle w:val="Normal"/>
        <w:spacing w:lineRule="auto" w:line="276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ΚΑΝΟΝΙΚΟ</w:t>
      </w:r>
    </w:p>
    <w:tbl>
      <w:tblPr>
        <w:tblW w:w="339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92"/>
      </w:tblGrid>
      <w:tr>
        <w:trPr>
          <w:trHeight w:val="585" w:hRule="atLeast"/>
        </w:trPr>
        <w:tc>
          <w:tcPr>
            <w:tcW w:w="3392" w:type="dxa"/>
            <w:tcBorders/>
          </w:tcPr>
          <w:p>
            <w:pPr>
              <w:pStyle w:val="Normal"/>
              <w:spacing w:lineRule="auto" w:line="276"/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13 Φεβρουαρίου </w:t>
            </w:r>
            <w:r>
              <w:rPr>
                <w:rFonts w:ascii="Georgia" w:hAnsi="Georgia"/>
                <w:sz w:val="22"/>
                <w:szCs w:val="22"/>
              </w:rPr>
              <w:t>20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24</w:t>
            </w:r>
          </w:p>
          <w:p>
            <w:pPr>
              <w:pStyle w:val="Normal"/>
              <w:spacing w:lineRule="auto" w:line="276"/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  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ΑΠ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Φ</w:t>
            </w:r>
            <w:r>
              <w:rPr>
                <w:rFonts w:ascii="Georgia" w:hAnsi="Georgia"/>
                <w:sz w:val="22"/>
                <w:szCs w:val="22"/>
              </w:rPr>
              <w:t xml:space="preserve"> : 2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700</w:t>
            </w:r>
            <w:r>
              <w:rPr>
                <w:rFonts w:ascii="Georgia" w:hAnsi="Georgia"/>
                <w:sz w:val="22"/>
                <w:szCs w:val="22"/>
              </w:rPr>
              <w:t>/222</w:t>
            </w:r>
          </w:p>
          <w:p>
            <w:pPr>
              <w:pStyle w:val="Normal"/>
              <w:spacing w:lineRule="auto" w:line="276"/>
              <w:jc w:val="right"/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  <w:lang w:val="el-GR"/>
              </w:rPr>
            </w:r>
          </w:p>
        </w:tc>
      </w:tr>
    </w:tbl>
    <w:p>
      <w:pPr>
        <w:pStyle w:val="Normal"/>
        <w:spacing w:lineRule="auto" w:line="276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tbl>
      <w:tblPr>
        <w:tblW w:w="949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65"/>
        <w:gridCol w:w="8329"/>
      </w:tblGrid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ΠΡΟΣ: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Β</w:t>
            </w:r>
            <w:r>
              <w:rPr>
                <w:rFonts w:ascii="Georgia" w:hAnsi="Georgia"/>
                <w:sz w:val="22"/>
                <w:szCs w:val="22"/>
              </w:rPr>
              <w:t>4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Δ/νση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ΚΟΙΝ.: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1. ΥΠ.ΕΞ.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Δ.Γ. κ.Υπουργού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Δ.Γ. Υφυπουργού κας Αλ.Παπαδοπούλου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Δ. Γ. Υφυπουργού κ.Κ.Φραγκογιάννη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Γραφείο κ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ας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Γ.Γ. ΔΟΣ και Εξωστρέφειας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Γραφεία κας Β΄Γεν. Δ/ντριας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- Α3, Β1, Γ2 Δ/νσεις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  <w:lang w:val="el-GR"/>
              </w:rPr>
              <w:t>2. Επιμελητήρια-Σύνδεσμοι-Φορείς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Ε.Δ.: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Γραφείο κας Πρέσβεως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</w:r>
          </w:p>
        </w:tc>
      </w:tr>
      <w:tr>
        <w:trPr>
          <w:trHeight w:val="656" w:hRule="atLeast"/>
        </w:trPr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ΘΕΜΑ: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Η Ελλάδα κατατάσσεται στην 5η θέση των κυριότερων επενδυτριών χωρών στην Ρουμανία για το 2023.</w:t>
            </w:r>
          </w:p>
        </w:tc>
      </w:tr>
    </w:tbl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Cambria" w:hAnsi="Cambria" w:asciiTheme="majorHAnsi" w:hAnsiTheme="majorHAnsi"/>
          <w:sz w:val="22"/>
          <w:szCs w:val="22"/>
          <w:lang w:val="el-GR"/>
        </w:rPr>
        <w:t xml:space="preserve">        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Cambria" w:hAnsi="Cambria" w:asciiTheme="majorHAnsi" w:hAnsiTheme="majorHAnsi"/>
          <w:sz w:val="22"/>
          <w:szCs w:val="22"/>
          <w:lang w:val="el-GR"/>
        </w:rPr>
        <w:t xml:space="preserve"> </w:t>
      </w:r>
      <w:r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sz w:val="22"/>
          <w:szCs w:val="22"/>
          <w:lang w:val="el-GR"/>
        </w:rPr>
        <w:t xml:space="preserve">Σύμφωνα με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τα πρόσφατα ανακοινωθέντα στοιχεία από την Ρ/Υπηρεσία Εμπορικού Μητρώου/Oficiul Național al Registrului Comerțului-ONRC, στοιχεία που αφορούν στο σύνολο του επενδεδυμένου ξένου κεφαλαίου/FDI Stock στη Ρουμανία/ανά χώρα/αριθμό εταιρειών για το σύνολο του 2023, προκύπτει ότι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η Ελλάδα βρίσκεται στην 5η θέση του σχετικού καταλόγου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(έναντι της 8ης θέσης το 2022)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,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εμφανίζοντας αύξηση τόσο του επενδεδυμένου κεφαλαίου όσο και του αριθμού των καταγεγραμμένων επιχειρήσεων.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 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Αναλυτικότερα οι συνολικές επενδύσεις/FDI Stock τον Δεκέμβριο του 2023 στην Ρουμανία έφθασαν στα 54,3 δισ.Ευρώ (έναντι 52,3 δις.Ευρώ το 2022, αύξηση κατά 3,8%), ενώ ο συνολικός αριθμός των επιχειρήσεων με συμμετοχή ξένου κεφαλαίου έφθασε στις 251.226 (έναντι 244.215 το 2022, αύξηση κατά 7.011 επιχειρήσεις).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Οι συνολικές επενδύσεις/FDI Stock της Ελλάδας στην Ρουμανία, κατά την ίδια περίοδο, έφθασαν στα 2,44 δισ.Ευρώ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(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έναντι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1,5 δισ.Ευρώ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το 2022,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αύξηση κατά 59,5%, λόγω κυρίως της εξαγοράς της Enel από την ΔΕΗ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)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αντιπροσωπεύοντας ποσοστό 5,0% του συνόλου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(3,29% το 2022). Παράλληλα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ο αριθμός των ρουμανικών εταιρειών με συμμετοχή ελληνικού κεφαλαίου ανέρχεται στις 8.624 αντιπροσωπεύοντας ποσοστό 3,45% του συνόλου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(έναντι 8.398 επιχειρήσεων με ποσοστό 3,42% στο σύνολο).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 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Όσον αφορά στην 10αδα των κυριότερων επενδυτριών χωρών στην Ρουμανία για το 2023, αυτή είναι : </w:t>
      </w:r>
    </w:p>
    <w:tbl>
      <w:tblPr>
        <w:tblW w:w="7469" w:type="dxa"/>
        <w:jc w:val="left"/>
        <w:tblInd w:w="995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628"/>
        <w:gridCol w:w="1890"/>
        <w:gridCol w:w="1079"/>
        <w:gridCol w:w="994"/>
        <w:gridCol w:w="1761"/>
        <w:gridCol w:w="1116"/>
      </w:tblGrid>
      <w:tr>
        <w:trPr>
          <w:tblHeader w:val="true"/>
          <w:trHeight w:val="352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Εταιρείες με ξένη συμμετοχή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Ποσό του εγγεγραμμένου μετοχικού κεφαλαίου</w:t>
            </w:r>
          </w:p>
        </w:tc>
      </w:tr>
      <w:tr>
        <w:trPr>
          <w:tblHeader w:val="true"/>
        </w:trPr>
        <w:tc>
          <w:tcPr>
            <w:tcW w:w="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Georgia" w:hAnsi="Georgia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</w:r>
          </w:p>
        </w:tc>
        <w:tc>
          <w:tcPr>
            <w:tcW w:w="1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Georgia" w:hAnsi="Georgia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Αριθμός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Χιλιάδες Ευρώ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rPr>
          <w:tblHeader w:val="true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Σύνολο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251.226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54.344.201,0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Ολλανδία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6.084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2,43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9.694.836,4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20,00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Γερμανία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25.737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10,30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5.886.890,8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12,15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Αυστρία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8.546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3,42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5.402.573,0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11,15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Κύπρος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6.578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2,63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4.713.182,3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9,73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Ελλάδα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8.624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3,45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2.447.612,7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</w:rPr>
              <w:t>5,05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Γαλλία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10.712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4,29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2.408.309,5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4,97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Ιταλία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52.756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21,10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2.380.817,5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4,91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Λουξεμβούργο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1.134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0,45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2.145.518,3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4,43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Ισπανία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6.858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2,74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1.701.870,5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3,51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5" w:right="96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4" w:right="9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el-GR"/>
              </w:rPr>
              <w:t>Ελβετία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1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3.529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right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1,41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103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1.612.377,9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27" w:right="98" w:hanging="0"/>
              <w:jc w:val="center"/>
              <w:rPr>
                <w:rFonts w:ascii="Georgia" w:hAnsi="Georgia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Georgia" w:hAnsi="Georgia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</w:rPr>
              <w:t>3,33</w:t>
            </w:r>
          </w:p>
        </w:tc>
      </w:tr>
    </w:tbl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 w:val="false"/>
          <w:b w:val="false"/>
          <w:i/>
          <w:i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Georgia" w:hAnsi="Georgia"/>
          <w:b w:val="false"/>
          <w:i/>
          <w:caps w:val="false"/>
          <w:smallCaps w:val="false"/>
          <w:color w:val="000000"/>
          <w:spacing w:val="0"/>
          <w:sz w:val="22"/>
          <w:szCs w:val="22"/>
        </w:rPr>
        <w:t xml:space="preserve">  </w:t>
      </w:r>
      <w:r>
        <w:rPr>
          <w:rFonts w:ascii="Georgia" w:hAnsi="Georgia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Τέλος σημειώνεται από πλευράς μας, με δεδομένα τα ανωτέρω, καθώς και το γεγονός ότι η Ρουμανία παραμένει και στην 10άδα των 10 κυριότερων ελληνικών εξαγωγικών προορισμών για 4η συνεχόμενη χρονιά (8η θέση το 2023), ότι </w:t>
      </w:r>
      <w:r>
        <w:rPr>
          <w:rFonts w:ascii="Georgia" w:hAnsi="Georgia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η ελληνική επιχειρηματική παρουσία στην Ρουμανία, συνεχίζει να αποτελεί παράδειγμα επιτυχημένης ελληνικής επιχειρηματικής εξωστρέφειας.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tbl>
      <w:tblPr>
        <w:tblW w:w="3600" w:type="dxa"/>
        <w:jc w:val="left"/>
        <w:tblInd w:w="55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00"/>
      </w:tblGrid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Ο Δ/νων</w:t>
            </w:r>
          </w:p>
          <w:p>
            <w:pPr>
              <w:pStyle w:val="Normal"/>
              <w:spacing w:lineRule="auto" w:line="276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Παντελής Γιαννούλης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Σύμβουλος ΟΕΥ Α΄</w:t>
            </w:r>
          </w:p>
        </w:tc>
      </w:tr>
    </w:tbl>
    <w:p>
      <w:pPr>
        <w:pStyle w:val="Normal"/>
        <w:spacing w:lineRule="auto" w:line="276"/>
        <w:rPr>
          <w:rFonts w:ascii="Georgia" w:hAnsi="Georgia"/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1260" w:right="1106" w:header="0" w:top="540" w:footer="72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</w:rPr>
    </w:pPr>
    <w:r>
      <w:rPr>
        <w:i/>
        <w:color w:val="A6A6A6" w:themeColor="background1" w:themeShade="a6"/>
        <w:sz w:val="20"/>
        <w:szCs w:val="20"/>
      </w:rPr>
      <w:t>PacheProtopopescu 1-3, Sector 2, Bucharest</w:t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  <w:lang w:val="it-IT"/>
      </w:rPr>
    </w:pPr>
    <w:r>
      <w:rPr>
        <w:i/>
        <w:color w:val="A6A6A6" w:themeColor="background1" w:themeShade="a6"/>
        <w:sz w:val="20"/>
        <w:szCs w:val="20"/>
        <w:lang w:val="el-GR"/>
      </w:rPr>
      <w:t>Τηλ</w:t>
    </w:r>
    <w:r>
      <w:rPr>
        <w:i/>
        <w:color w:val="A6A6A6" w:themeColor="background1" w:themeShade="a6"/>
        <w:sz w:val="20"/>
        <w:szCs w:val="20"/>
      </w:rPr>
      <w:t>.</w:t>
    </w:r>
    <w:r>
      <w:rPr>
        <w:i/>
        <w:color w:val="A6A6A6" w:themeColor="background1" w:themeShade="a6"/>
        <w:sz w:val="20"/>
        <w:szCs w:val="20"/>
        <w:lang w:val="it-IT"/>
      </w:rPr>
      <w:t>: +40-21-2100748,2115724, Fax: +40-21-2119893</w:t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  <w:lang w:val="en-GB"/>
      </w:rPr>
    </w:pPr>
    <w:r>
      <w:rPr>
        <w:i/>
        <w:color w:val="A6A6A6" w:themeColor="background1" w:themeShade="a6"/>
        <w:sz w:val="20"/>
        <w:szCs w:val="20"/>
        <w:lang w:val="it-IT"/>
      </w:rPr>
      <w:t xml:space="preserve">e-mail: </w:t>
    </w:r>
    <w:hyperlink r:id="rId1">
      <w:r>
        <w:rPr>
          <w:rStyle w:val="InternetLink"/>
          <w:i/>
          <w:color w:val="A6A6A6" w:themeColor="background1" w:themeShade="a6"/>
          <w:sz w:val="20"/>
          <w:szCs w:val="20"/>
          <w:lang w:val="it-IT"/>
        </w:rPr>
        <w:t>ecocom-bucharest@mfa.gr</w:t>
      </w:r>
    </w:hyperlink>
    <w:r>
      <w:rPr>
        <w:i/>
        <w:color w:val="A6A6A6" w:themeColor="background1" w:themeShade="a6"/>
        <w:sz w:val="20"/>
        <w:szCs w:val="20"/>
      </w:rPr>
      <w:t xml:space="preserve"> Web: </w:t>
    </w:r>
    <w:hyperlink r:id="rId2">
      <w:r>
        <w:rPr>
          <w:rStyle w:val="InternetLink"/>
          <w:i/>
          <w:color w:val="A6A6A6" w:themeColor="background1" w:themeShade="a6"/>
          <w:sz w:val="20"/>
          <w:szCs w:val="20"/>
        </w:rPr>
        <w:t>www.agora.mfa.gr</w:t>
      </w:r>
    </w:hyperlink>
  </w:p>
  <w:p>
    <w:pPr>
      <w:pStyle w:val="Footer"/>
      <w:jc w:val="center"/>
      <w:rPr>
        <w:i/>
        <w:i/>
        <w:sz w:val="20"/>
        <w:szCs w:val="20"/>
        <w:lang w:val="en-GB"/>
      </w:rPr>
    </w:pPr>
    <w:r>
      <w:rPr>
        <w:i/>
        <w:sz w:val="20"/>
        <w:szCs w:val="20"/>
        <w:lang w:val="en-GB"/>
      </w:rPr>
    </w:r>
  </w:p>
  <w:p>
    <w:pPr>
      <w:pStyle w:val="Footer"/>
      <w:jc w:val="center"/>
      <w:rPr>
        <w:lang w:val="en-GB"/>
      </w:rPr>
    </w:pPr>
    <w:r>
      <w:rPr>
        <w:lang w:val="en-GB"/>
      </w:rPr>
    </w:r>
  </w:p>
</w:ftr>
</file>

<file path=word/settings.xml><?xml version="1.0" encoding="utf-8"?>
<w:settings xmlns:w="http://schemas.openxmlformats.org/wordprocessingml/2006/main">
  <w:zoom w:percent="196"/>
  <w:embedSystemFonts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semiHidden="0" w:unhideWhenUsed="0" w:qFormat="1"/>
    <w:lsdException w:name="Emphasis" w:locked="1" w:uiPriority="2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79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797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1604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604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747973"/>
    <w:rPr>
      <w:rFonts w:ascii="Arial" w:hAnsi="Arial" w:cs="Arial"/>
      <w:b/>
      <w:bCs/>
      <w:kern w:val="2"/>
      <w:sz w:val="32"/>
      <w:szCs w:val="32"/>
      <w:lang w:val="en-US" w:eastAsia="en-US" w:bidi="ar-SA"/>
    </w:rPr>
  </w:style>
  <w:style w:type="character" w:styleId="InternetLink">
    <w:name w:val="Hyperlink"/>
    <w:basedOn w:val="DefaultParagraphFont"/>
    <w:uiPriority w:val="99"/>
    <w:rsid w:val="00747973"/>
    <w:rPr>
      <w:rFonts w:cs="Times New Roman"/>
      <w:color w:val="0000FF"/>
      <w:u w:val="none"/>
      <w:effect w:val="non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a13978"/>
    <w:rPr>
      <w:rFonts w:cs="Times New Roman"/>
      <w:sz w:val="2"/>
    </w:rPr>
  </w:style>
  <w:style w:type="character" w:styleId="Emphasis">
    <w:name w:val="Emphasis"/>
    <w:basedOn w:val="DefaultParagraphFont"/>
    <w:uiPriority w:val="20"/>
    <w:qFormat/>
    <w:locked/>
    <w:rsid w:val="00eb1d3a"/>
    <w:rPr>
      <w:i/>
      <w:iCs/>
    </w:rPr>
  </w:style>
  <w:style w:type="character" w:styleId="St" w:customStyle="1">
    <w:name w:val="st"/>
    <w:basedOn w:val="DefaultParagraphFont"/>
    <w:qFormat/>
    <w:rsid w:val="00ab4b9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d567b"/>
    <w:rPr>
      <w:sz w:val="24"/>
      <w:szCs w:val="24"/>
    </w:rPr>
  </w:style>
  <w:style w:type="character" w:styleId="Char" w:customStyle="1">
    <w:name w:val="Υποσέλιδο Char"/>
    <w:basedOn w:val="DefaultParagraphFont"/>
    <w:uiPriority w:val="99"/>
    <w:qFormat/>
    <w:rsid w:val="00ed567b"/>
    <w:rPr>
      <w:sz w:val="24"/>
      <w:szCs w:val="24"/>
    </w:rPr>
  </w:style>
  <w:style w:type="character" w:styleId="Heading2Char" w:customStyle="1">
    <w:name w:val="Heading 2 Char"/>
    <w:basedOn w:val="DefaultParagraphFont"/>
    <w:link w:val="Heading2"/>
    <w:semiHidden/>
    <w:qFormat/>
    <w:rsid w:val="0021604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21604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21604b"/>
    <w:rPr>
      <w:b/>
      <w:bCs/>
    </w:rPr>
  </w:style>
  <w:style w:type="character" w:styleId="Muted" w:customStyle="1">
    <w:name w:val="muted"/>
    <w:basedOn w:val="DefaultParagraphFont"/>
    <w:qFormat/>
    <w:rsid w:val="0021604b"/>
    <w:rPr/>
  </w:style>
  <w:style w:type="character" w:styleId="HTMLChar" w:customStyle="1">
    <w:name w:val="Προ-διαμορφωμένο HTML Char"/>
    <w:basedOn w:val="DefaultParagraphFont"/>
    <w:uiPriority w:val="99"/>
    <w:semiHidden/>
    <w:qFormat/>
    <w:rsid w:val="001a2fa4"/>
    <w:rPr>
      <w:rFonts w:ascii="Courier New" w:hAnsi="Courier New" w:cs="Courier New"/>
      <w:sz w:val="20"/>
      <w:szCs w:val="20"/>
      <w:lang w:val="en-GB" w:eastAsia="en-GB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rsid w:val="00bc2764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bc2764"/>
    <w:pPr>
      <w:spacing w:lineRule="auto" w:line="276" w:before="0" w:after="140"/>
    </w:pPr>
    <w:rPr/>
  </w:style>
  <w:style w:type="paragraph" w:styleId="List">
    <w:name w:val="List"/>
    <w:basedOn w:val="TextBody"/>
    <w:rsid w:val="00bc2764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bc2764"/>
    <w:pPr>
      <w:suppressLineNumbers/>
    </w:pPr>
    <w:rPr>
      <w:rFonts w:cs="Lohit Devanagari"/>
    </w:rPr>
  </w:style>
  <w:style w:type="paragraph" w:styleId="Caption1">
    <w:name w:val="caption"/>
    <w:basedOn w:val="Normal"/>
    <w:qFormat/>
    <w:rsid w:val="00bc2764"/>
    <w:pPr>
      <w:suppressLineNumbers/>
      <w:spacing w:before="120" w:after="120"/>
    </w:pPr>
    <w:rPr>
      <w:rFonts w:cs="Lohit Devanagari"/>
      <w:i/>
      <w:i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984e9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447aa"/>
    <w:pPr>
      <w:spacing w:beforeAutospacing="1" w:afterAutospacing="1"/>
    </w:pPr>
    <w:rPr/>
  </w:style>
  <w:style w:type="paragraph" w:styleId="HeaderandFooter" w:customStyle="1">
    <w:name w:val="Header and Footer"/>
    <w:basedOn w:val="Normal"/>
    <w:qFormat/>
    <w:rsid w:val="00bc2764"/>
    <w:pPr/>
    <w:rPr/>
  </w:style>
  <w:style w:type="paragraph" w:styleId="Header">
    <w:name w:val="Header"/>
    <w:basedOn w:val="Normal"/>
    <w:uiPriority w:val="99"/>
    <w:unhideWhenUsed/>
    <w:rsid w:val="00ed567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d567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3041e4"/>
    <w:pPr>
      <w:spacing w:before="0" w:after="0"/>
      <w:ind w:left="720" w:hanging="0"/>
      <w:contextualSpacing/>
    </w:pPr>
    <w:rPr/>
  </w:style>
  <w:style w:type="paragraph" w:styleId="HTMLPreformatted">
    <w:name w:val="HTML Preformatted"/>
    <w:basedOn w:val="Normal"/>
    <w:uiPriority w:val="99"/>
    <w:semiHidden/>
    <w:unhideWhenUsed/>
    <w:qFormat/>
    <w:rsid w:val="001a2fa4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a053e"/>
    <w:rPr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ecocom-bucharest@mfa.gr" TargetMode="External"/><Relationship Id="rId2" Type="http://schemas.openxmlformats.org/officeDocument/2006/relationships/hyperlink" Target="http://www.agora.mfa.gr/romania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26036-9BBA-494B-B8E7-D9FD7523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LibreOffice/6.4.7.2$Linux_X86_64 LibreOffice_project/40$Build-2</Application>
  <Pages>2</Pages>
  <Words>417</Words>
  <Characters>2530</Characters>
  <CharactersWithSpaces>2869</CharactersWithSpaces>
  <Paragraphs>107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2021-11-04T13:00:00Z</dcterms:created>
  <dc:creator>dimitra.schina</dc:creator>
  <dc:description/>
  <dc:language>en-US</dc:language>
  <cp:lastModifiedBy/>
  <cp:lastPrinted>2024-02-13T11:56:32Z</cp:lastPrinted>
  <dcterms:modified xsi:type="dcterms:W3CDTF">2024-02-13T12:03:19Z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