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2" w:type="dxa"/>
        <w:tblLayout w:type="fixed"/>
        <w:tblLook w:val="01E0" w:firstRow="1" w:lastRow="1" w:firstColumn="1" w:lastColumn="1" w:noHBand="0" w:noVBand="0"/>
      </w:tblPr>
      <w:tblGrid>
        <w:gridCol w:w="709"/>
        <w:gridCol w:w="533"/>
        <w:gridCol w:w="3618"/>
        <w:gridCol w:w="288"/>
        <w:gridCol w:w="1363"/>
        <w:gridCol w:w="617"/>
        <w:gridCol w:w="2903"/>
        <w:gridCol w:w="365"/>
        <w:gridCol w:w="26"/>
      </w:tblGrid>
      <w:tr w:rsidR="006C4CF3" w:rsidRPr="00BE299D" w:rsidTr="00D46325">
        <w:trPr>
          <w:gridAfter w:val="2"/>
          <w:wAfter w:w="391" w:type="dxa"/>
          <w:trHeight w:val="844"/>
        </w:trPr>
        <w:tc>
          <w:tcPr>
            <w:tcW w:w="5148" w:type="dxa"/>
            <w:gridSpan w:val="4"/>
          </w:tcPr>
          <w:p w:rsidR="006C4CF3" w:rsidRPr="00BE299D" w:rsidRDefault="00FE5123" w:rsidP="00FE5123">
            <w:pPr>
              <w:spacing w:line="276" w:lineRule="auto"/>
              <w:rPr>
                <w:rFonts w:asciiTheme="majorHAnsi" w:hAnsiTheme="majorHAnsi" w:cs="Calibri"/>
                <w:b/>
                <w:bCs/>
              </w:rPr>
            </w:pPr>
            <w:bookmarkStart w:id="0" w:name="_GoBack"/>
            <w:bookmarkEnd w:id="0"/>
            <w:r w:rsidRPr="00BE299D">
              <w:rPr>
                <w:rFonts w:asciiTheme="majorHAnsi" w:hAnsiTheme="majorHAnsi" w:cs="Calibri"/>
                <w:noProof/>
              </w:rPr>
              <w:t xml:space="preserve">                                </w:t>
            </w:r>
            <w:r w:rsidRPr="00BE299D">
              <w:rPr>
                <w:rFonts w:asciiTheme="majorHAnsi" w:hAnsiTheme="majorHAnsi" w:cs="Calibri"/>
                <w:noProof/>
              </w:rPr>
              <w:drawing>
                <wp:inline distT="0" distB="0" distL="0" distR="0">
                  <wp:extent cx="570865" cy="541020"/>
                  <wp:effectExtent l="19050" t="0" r="63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41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3" w:type="dxa"/>
            <w:gridSpan w:val="3"/>
            <w:vMerge w:val="restart"/>
            <w:vAlign w:val="center"/>
          </w:tcPr>
          <w:p w:rsidR="006C4CF3" w:rsidRPr="00BE299D" w:rsidRDefault="006C4CF3" w:rsidP="00620703">
            <w:pPr>
              <w:spacing w:line="276" w:lineRule="auto"/>
              <w:ind w:right="-108"/>
              <w:jc w:val="right"/>
              <w:rPr>
                <w:rFonts w:asciiTheme="majorHAnsi" w:hAnsiTheme="majorHAnsi" w:cs="Calibri"/>
                <w:b/>
                <w:bCs/>
              </w:rPr>
            </w:pPr>
            <w:bookmarkStart w:id="1" w:name="Β_ΑΣΦΑΛΕΙΑΣ_1"/>
          </w:p>
          <w:p w:rsidR="006C4CF3" w:rsidRPr="00BE299D" w:rsidRDefault="006C4CF3" w:rsidP="00620703">
            <w:pPr>
              <w:spacing w:line="276" w:lineRule="auto"/>
              <w:ind w:right="-108"/>
              <w:jc w:val="right"/>
              <w:rPr>
                <w:rFonts w:asciiTheme="majorHAnsi" w:hAnsiTheme="majorHAnsi" w:cs="Calibri"/>
                <w:b/>
                <w:bCs/>
                <w:lang w:val="en-US"/>
              </w:rPr>
            </w:pPr>
          </w:p>
          <w:p w:rsidR="006C4CF3" w:rsidRPr="00BE299D" w:rsidRDefault="006C4CF3" w:rsidP="007E23F6">
            <w:pPr>
              <w:ind w:right="-108"/>
              <w:jc w:val="right"/>
              <w:rPr>
                <w:rFonts w:asciiTheme="majorHAnsi" w:hAnsiTheme="majorHAnsi" w:cs="Calibri"/>
                <w:b/>
                <w:bCs/>
              </w:rPr>
            </w:pPr>
          </w:p>
          <w:bookmarkEnd w:id="1"/>
          <w:p w:rsidR="00A702D4" w:rsidRPr="00BE299D" w:rsidRDefault="00A702D4" w:rsidP="007E23F6">
            <w:pPr>
              <w:spacing w:line="276" w:lineRule="auto"/>
              <w:ind w:right="63"/>
              <w:jc w:val="right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6C4CF3" w:rsidRPr="00BE299D" w:rsidTr="00D46325">
        <w:trPr>
          <w:gridAfter w:val="2"/>
          <w:wAfter w:w="391" w:type="dxa"/>
          <w:trHeight w:val="572"/>
        </w:trPr>
        <w:tc>
          <w:tcPr>
            <w:tcW w:w="5148" w:type="dxa"/>
            <w:gridSpan w:val="4"/>
          </w:tcPr>
          <w:p w:rsidR="006C4CF3" w:rsidRPr="00BE299D" w:rsidRDefault="00FE5123" w:rsidP="00FE5123">
            <w:pPr>
              <w:spacing w:line="276" w:lineRule="auto"/>
              <w:rPr>
                <w:rFonts w:asciiTheme="majorHAnsi" w:hAnsiTheme="majorHAnsi" w:cs="Calibri"/>
                <w:b/>
                <w:bCs/>
              </w:rPr>
            </w:pPr>
            <w:r w:rsidRPr="00BE299D">
              <w:rPr>
                <w:rFonts w:asciiTheme="majorHAnsi" w:hAnsiTheme="majorHAnsi" w:cs="Calibri"/>
                <w:b/>
                <w:bCs/>
              </w:rPr>
              <w:t xml:space="preserve">  </w:t>
            </w:r>
            <w:r w:rsidR="006C4CF3" w:rsidRPr="00BE299D">
              <w:rPr>
                <w:rFonts w:asciiTheme="majorHAnsi" w:hAnsiTheme="majorHAnsi" w:cs="Calibri"/>
                <w:b/>
                <w:bCs/>
              </w:rPr>
              <w:t>ΠΡΕΣΒΕΙΑ ΤΗΣ ΕΛΛΑΔΟΣ</w:t>
            </w:r>
            <w:r w:rsidR="007F4F83" w:rsidRPr="00BE299D">
              <w:rPr>
                <w:rFonts w:asciiTheme="majorHAnsi" w:hAnsiTheme="majorHAnsi" w:cs="Calibri"/>
                <w:b/>
                <w:bCs/>
              </w:rPr>
              <w:t xml:space="preserve"> ΣΤΗ </w:t>
            </w:r>
            <w:r w:rsidR="006C4CF3" w:rsidRPr="00BE299D">
              <w:rPr>
                <w:rFonts w:asciiTheme="majorHAnsi" w:hAnsiTheme="majorHAnsi" w:cs="Calibri"/>
                <w:b/>
                <w:bCs/>
              </w:rPr>
              <w:t>ΣΤΟΚΧΟΛΜΗ</w:t>
            </w:r>
          </w:p>
          <w:p w:rsidR="007F4F83" w:rsidRPr="00BE299D" w:rsidRDefault="00FE5123" w:rsidP="00620703">
            <w:pPr>
              <w:spacing w:line="276" w:lineRule="auto"/>
              <w:jc w:val="center"/>
              <w:rPr>
                <w:rFonts w:asciiTheme="majorHAnsi" w:hAnsiTheme="majorHAnsi" w:cs="Calibri"/>
                <w:b/>
                <w:bCs/>
              </w:rPr>
            </w:pPr>
            <w:r w:rsidRPr="00BE299D">
              <w:rPr>
                <w:rFonts w:asciiTheme="majorHAnsi" w:hAnsiTheme="majorHAnsi" w:cs="Calibri"/>
                <w:b/>
                <w:bCs/>
              </w:rPr>
              <w:t>ΓΡΑΦΕΙΟ ΟΙΚΟΝΟΜΙΚΩΝ &amp;</w:t>
            </w:r>
            <w:r w:rsidR="007F4F83" w:rsidRPr="00BE299D">
              <w:rPr>
                <w:rFonts w:asciiTheme="majorHAnsi" w:hAnsiTheme="majorHAnsi" w:cs="Calibri"/>
                <w:b/>
                <w:bCs/>
              </w:rPr>
              <w:t xml:space="preserve"> ΕΜΠΟΡΙΚΩΝ ΥΠΟΘΕΣΕΩΝ</w:t>
            </w:r>
          </w:p>
        </w:tc>
        <w:tc>
          <w:tcPr>
            <w:tcW w:w="4883" w:type="dxa"/>
            <w:gridSpan w:val="3"/>
            <w:vMerge/>
          </w:tcPr>
          <w:p w:rsidR="006C4CF3" w:rsidRPr="00BE299D" w:rsidRDefault="006C4CF3" w:rsidP="00620703">
            <w:pPr>
              <w:spacing w:line="276" w:lineRule="auto"/>
              <w:jc w:val="both"/>
              <w:rPr>
                <w:rFonts w:asciiTheme="majorHAnsi" w:hAnsiTheme="majorHAnsi" w:cs="Calibri"/>
              </w:rPr>
            </w:pPr>
          </w:p>
        </w:tc>
      </w:tr>
      <w:tr w:rsidR="005D68AE" w:rsidRPr="00BE299D" w:rsidTr="00D46325">
        <w:trPr>
          <w:gridAfter w:val="2"/>
          <w:wAfter w:w="391" w:type="dxa"/>
        </w:trPr>
        <w:tc>
          <w:tcPr>
            <w:tcW w:w="709" w:type="dxa"/>
            <w:vAlign w:val="center"/>
          </w:tcPr>
          <w:p w:rsidR="005D68AE" w:rsidRPr="00BE299D" w:rsidRDefault="005D68AE" w:rsidP="00620703">
            <w:pPr>
              <w:tabs>
                <w:tab w:val="right" w:pos="3256"/>
              </w:tabs>
              <w:spacing w:line="276" w:lineRule="auto"/>
              <w:ind w:left="-108" w:right="-108"/>
              <w:jc w:val="both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5D68AE" w:rsidRPr="00BE299D" w:rsidRDefault="005D68AE" w:rsidP="00620703">
            <w:pPr>
              <w:spacing w:line="276" w:lineRule="auto"/>
              <w:jc w:val="both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68" w:type="dxa"/>
            <w:gridSpan w:val="3"/>
          </w:tcPr>
          <w:p w:rsidR="005D68AE" w:rsidRPr="00BE299D" w:rsidRDefault="005D68AE" w:rsidP="007E23F6">
            <w:pPr>
              <w:spacing w:line="276" w:lineRule="auto"/>
              <w:ind w:left="-108" w:right="-108"/>
              <w:jc w:val="right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903" w:type="dxa"/>
          </w:tcPr>
          <w:p w:rsidR="005D68AE" w:rsidRPr="00BE299D" w:rsidRDefault="00B24059" w:rsidP="00FE5123">
            <w:pPr>
              <w:spacing w:line="276" w:lineRule="auto"/>
              <w:ind w:right="63"/>
              <w:rPr>
                <w:rFonts w:asciiTheme="majorHAnsi" w:hAnsiTheme="majorHAnsi" w:cs="Calibri"/>
                <w:b/>
              </w:rPr>
            </w:pPr>
            <w:r w:rsidRPr="00BE299D">
              <w:rPr>
                <w:rFonts w:asciiTheme="majorHAnsi" w:hAnsiTheme="majorHAnsi" w:cs="Calibri"/>
                <w:b/>
                <w:bCs/>
              </w:rPr>
              <w:t>ΑΔΙΑΒΑΘΜΗΤΟ</w:t>
            </w:r>
          </w:p>
        </w:tc>
      </w:tr>
      <w:tr w:rsidR="005D68AE" w:rsidRPr="00BE299D" w:rsidTr="00D46325">
        <w:trPr>
          <w:gridAfter w:val="2"/>
          <w:wAfter w:w="391" w:type="dxa"/>
        </w:trPr>
        <w:tc>
          <w:tcPr>
            <w:tcW w:w="709" w:type="dxa"/>
            <w:vAlign w:val="center"/>
          </w:tcPr>
          <w:p w:rsidR="005D68AE" w:rsidRPr="00BE299D" w:rsidRDefault="005D68AE" w:rsidP="00620703">
            <w:pPr>
              <w:tabs>
                <w:tab w:val="right" w:pos="3256"/>
              </w:tabs>
              <w:spacing w:line="276" w:lineRule="auto"/>
              <w:ind w:left="-108" w:right="-108"/>
              <w:jc w:val="both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5D68AE" w:rsidRPr="00BE299D" w:rsidRDefault="005D68AE" w:rsidP="00620703">
            <w:pPr>
              <w:spacing w:line="276" w:lineRule="auto"/>
              <w:jc w:val="both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68" w:type="dxa"/>
            <w:gridSpan w:val="3"/>
          </w:tcPr>
          <w:p w:rsidR="005D68AE" w:rsidRPr="00BE299D" w:rsidRDefault="005D68AE" w:rsidP="007E23F6">
            <w:pPr>
              <w:spacing w:line="276" w:lineRule="auto"/>
              <w:ind w:left="-108" w:right="-108"/>
              <w:jc w:val="right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903" w:type="dxa"/>
          </w:tcPr>
          <w:p w:rsidR="005D68AE" w:rsidRPr="00BE299D" w:rsidRDefault="00FE5123" w:rsidP="00FE5123">
            <w:pPr>
              <w:spacing w:line="276" w:lineRule="auto"/>
              <w:rPr>
                <w:rFonts w:asciiTheme="majorHAnsi" w:hAnsiTheme="majorHAnsi" w:cs="Calibri"/>
                <w:b/>
              </w:rPr>
            </w:pPr>
            <w:r w:rsidRPr="00BE299D">
              <w:rPr>
                <w:rFonts w:asciiTheme="majorHAnsi" w:hAnsiTheme="majorHAnsi" w:cs="Calibri"/>
                <w:b/>
                <w:bCs/>
              </w:rPr>
              <w:t xml:space="preserve">   ΚΑΝΟΝΙΚΟ</w:t>
            </w:r>
          </w:p>
        </w:tc>
      </w:tr>
      <w:tr w:rsidR="005D68AE" w:rsidRPr="00BE299D" w:rsidTr="00D46325">
        <w:trPr>
          <w:gridAfter w:val="2"/>
          <w:wAfter w:w="391" w:type="dxa"/>
        </w:trPr>
        <w:tc>
          <w:tcPr>
            <w:tcW w:w="709" w:type="dxa"/>
            <w:vAlign w:val="center"/>
          </w:tcPr>
          <w:p w:rsidR="005D68AE" w:rsidRPr="00BE299D" w:rsidRDefault="005D68AE" w:rsidP="00620703">
            <w:pPr>
              <w:tabs>
                <w:tab w:val="right" w:pos="3256"/>
              </w:tabs>
              <w:spacing w:line="276" w:lineRule="auto"/>
              <w:ind w:left="-108" w:right="-108"/>
              <w:jc w:val="both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5D68AE" w:rsidRPr="00BE299D" w:rsidRDefault="005D68AE" w:rsidP="00620703">
            <w:pPr>
              <w:spacing w:line="276" w:lineRule="auto"/>
              <w:jc w:val="both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68" w:type="dxa"/>
            <w:gridSpan w:val="3"/>
          </w:tcPr>
          <w:p w:rsidR="005D68AE" w:rsidRPr="00BE299D" w:rsidRDefault="005D68AE" w:rsidP="007E23F6">
            <w:pPr>
              <w:spacing w:line="276" w:lineRule="auto"/>
              <w:ind w:left="-108" w:right="-108"/>
              <w:jc w:val="right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903" w:type="dxa"/>
          </w:tcPr>
          <w:p w:rsidR="005D68AE" w:rsidRPr="00BE299D" w:rsidRDefault="005D68AE" w:rsidP="00620703">
            <w:pPr>
              <w:spacing w:line="276" w:lineRule="auto"/>
              <w:jc w:val="both"/>
              <w:rPr>
                <w:rFonts w:asciiTheme="majorHAnsi" w:hAnsiTheme="majorHAnsi" w:cs="Calibri"/>
                <w:b/>
              </w:rPr>
            </w:pPr>
          </w:p>
        </w:tc>
      </w:tr>
      <w:tr w:rsidR="006C4CF3" w:rsidRPr="00BE299D" w:rsidTr="00D46325">
        <w:trPr>
          <w:gridAfter w:val="2"/>
          <w:wAfter w:w="391" w:type="dxa"/>
        </w:trPr>
        <w:tc>
          <w:tcPr>
            <w:tcW w:w="709" w:type="dxa"/>
            <w:vAlign w:val="center"/>
          </w:tcPr>
          <w:p w:rsidR="006C4CF3" w:rsidRPr="00BE299D" w:rsidRDefault="006C4CF3" w:rsidP="00620703">
            <w:pPr>
              <w:tabs>
                <w:tab w:val="right" w:pos="3256"/>
              </w:tabs>
              <w:spacing w:line="276" w:lineRule="auto"/>
              <w:ind w:left="-108" w:right="-108"/>
              <w:jc w:val="both"/>
              <w:rPr>
                <w:rFonts w:asciiTheme="majorHAnsi" w:hAnsiTheme="majorHAnsi" w:cs="Calibri"/>
                <w:b/>
                <w:bCs/>
              </w:rPr>
            </w:pPr>
            <w:bookmarkStart w:id="2" w:name="ΑΡΜΟΔΙΟΣ"/>
            <w:bookmarkEnd w:id="2"/>
          </w:p>
        </w:tc>
        <w:tc>
          <w:tcPr>
            <w:tcW w:w="4151" w:type="dxa"/>
            <w:gridSpan w:val="2"/>
            <w:vAlign w:val="center"/>
          </w:tcPr>
          <w:p w:rsidR="006C4CF3" w:rsidRPr="00BE299D" w:rsidRDefault="006C4CF3" w:rsidP="00620703">
            <w:pPr>
              <w:spacing w:line="276" w:lineRule="auto"/>
              <w:jc w:val="both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68" w:type="dxa"/>
            <w:gridSpan w:val="3"/>
          </w:tcPr>
          <w:p w:rsidR="006C4CF3" w:rsidRPr="00BE299D" w:rsidRDefault="004A7DBB" w:rsidP="004A7DBB">
            <w:pPr>
              <w:tabs>
                <w:tab w:val="left" w:pos="461"/>
                <w:tab w:val="right" w:pos="2160"/>
              </w:tabs>
              <w:spacing w:line="276" w:lineRule="auto"/>
              <w:ind w:left="-108" w:right="-108"/>
              <w:rPr>
                <w:rFonts w:asciiTheme="majorHAnsi" w:hAnsiTheme="majorHAnsi" w:cs="Calibri"/>
              </w:rPr>
            </w:pPr>
            <w:r w:rsidRPr="00BE299D">
              <w:rPr>
                <w:rFonts w:asciiTheme="majorHAnsi" w:hAnsiTheme="majorHAnsi" w:cs="Calibri"/>
              </w:rPr>
              <w:tab/>
            </w:r>
            <w:r w:rsidRPr="00BE299D">
              <w:rPr>
                <w:rFonts w:asciiTheme="majorHAnsi" w:hAnsiTheme="majorHAnsi" w:cs="Calibri"/>
              </w:rPr>
              <w:tab/>
            </w:r>
            <w:r w:rsidR="006C4CF3" w:rsidRPr="00BE299D">
              <w:rPr>
                <w:rFonts w:asciiTheme="majorHAnsi" w:hAnsiTheme="majorHAnsi" w:cs="Calibri"/>
              </w:rPr>
              <w:t>Στοκχόλμη,</w:t>
            </w:r>
          </w:p>
        </w:tc>
        <w:tc>
          <w:tcPr>
            <w:tcW w:w="2903" w:type="dxa"/>
          </w:tcPr>
          <w:p w:rsidR="006C4CF3" w:rsidRPr="00BE299D" w:rsidRDefault="00A6600B" w:rsidP="00B8224D">
            <w:pPr>
              <w:spacing w:line="276" w:lineRule="auto"/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15 Οκτωβρ</w:t>
            </w:r>
            <w:r w:rsidR="00640324">
              <w:rPr>
                <w:rFonts w:asciiTheme="majorHAnsi" w:hAnsiTheme="majorHAnsi" w:cs="Calibri"/>
              </w:rPr>
              <w:t>ίου</w:t>
            </w:r>
            <w:r w:rsidR="004A7DBB" w:rsidRPr="00BE299D">
              <w:rPr>
                <w:rFonts w:asciiTheme="majorHAnsi" w:hAnsiTheme="majorHAnsi" w:cs="Calibri"/>
              </w:rPr>
              <w:t xml:space="preserve"> </w:t>
            </w:r>
            <w:r w:rsidR="006C4CF3" w:rsidRPr="00BE299D">
              <w:rPr>
                <w:rFonts w:asciiTheme="majorHAnsi" w:hAnsiTheme="majorHAnsi" w:cs="Calibri"/>
              </w:rPr>
              <w:t>201</w:t>
            </w:r>
            <w:r w:rsidR="00640324">
              <w:rPr>
                <w:rFonts w:asciiTheme="majorHAnsi" w:hAnsiTheme="majorHAnsi" w:cs="Calibri"/>
              </w:rPr>
              <w:t>8</w:t>
            </w:r>
          </w:p>
        </w:tc>
      </w:tr>
      <w:tr w:rsidR="006C4CF3" w:rsidRPr="00BE299D" w:rsidTr="00D46325">
        <w:trPr>
          <w:gridAfter w:val="2"/>
          <w:wAfter w:w="391" w:type="dxa"/>
        </w:trPr>
        <w:tc>
          <w:tcPr>
            <w:tcW w:w="709" w:type="dxa"/>
            <w:vAlign w:val="center"/>
          </w:tcPr>
          <w:p w:rsidR="006C4CF3" w:rsidRPr="00BE299D" w:rsidRDefault="006C4CF3" w:rsidP="00620703">
            <w:pPr>
              <w:tabs>
                <w:tab w:val="right" w:pos="3256"/>
              </w:tabs>
              <w:spacing w:line="276" w:lineRule="auto"/>
              <w:ind w:left="-108" w:right="-108"/>
              <w:jc w:val="both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6C4CF3" w:rsidRPr="00BE299D" w:rsidRDefault="006C4CF3" w:rsidP="00620703">
            <w:pPr>
              <w:spacing w:line="276" w:lineRule="auto"/>
              <w:jc w:val="both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68" w:type="dxa"/>
            <w:gridSpan w:val="3"/>
          </w:tcPr>
          <w:p w:rsidR="006C4CF3" w:rsidRPr="00BE299D" w:rsidRDefault="006C4CF3" w:rsidP="007E23F6">
            <w:pPr>
              <w:spacing w:line="276" w:lineRule="auto"/>
              <w:ind w:left="-108" w:right="-108"/>
              <w:jc w:val="right"/>
              <w:rPr>
                <w:rFonts w:asciiTheme="majorHAnsi" w:hAnsiTheme="majorHAnsi" w:cs="Calibri"/>
              </w:rPr>
            </w:pPr>
            <w:r w:rsidRPr="00BE299D">
              <w:rPr>
                <w:rFonts w:asciiTheme="majorHAnsi" w:hAnsiTheme="majorHAnsi" w:cs="Calibri"/>
              </w:rPr>
              <w:t>Α.Π. :</w:t>
            </w:r>
          </w:p>
        </w:tc>
        <w:tc>
          <w:tcPr>
            <w:tcW w:w="2903" w:type="dxa"/>
          </w:tcPr>
          <w:p w:rsidR="006C4CF3" w:rsidRPr="00BE299D" w:rsidRDefault="0015584F" w:rsidP="00EB0EE7">
            <w:pPr>
              <w:spacing w:line="276" w:lineRule="auto"/>
              <w:jc w:val="both"/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416</w:t>
            </w:r>
          </w:p>
        </w:tc>
      </w:tr>
      <w:tr w:rsidR="006C4CF3" w:rsidRPr="00BE299D" w:rsidTr="00D46325">
        <w:trPr>
          <w:gridAfter w:val="2"/>
          <w:wAfter w:w="391" w:type="dxa"/>
        </w:trPr>
        <w:tc>
          <w:tcPr>
            <w:tcW w:w="709" w:type="dxa"/>
            <w:vAlign w:val="center"/>
          </w:tcPr>
          <w:p w:rsidR="006C4CF3" w:rsidRPr="00BE299D" w:rsidRDefault="006C4CF3" w:rsidP="00620703">
            <w:pPr>
              <w:tabs>
                <w:tab w:val="right" w:pos="3256"/>
              </w:tabs>
              <w:spacing w:line="276" w:lineRule="auto"/>
              <w:ind w:left="-108" w:right="-108"/>
              <w:jc w:val="both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4151" w:type="dxa"/>
            <w:gridSpan w:val="2"/>
            <w:vAlign w:val="center"/>
          </w:tcPr>
          <w:p w:rsidR="006C4CF3" w:rsidRPr="00BE299D" w:rsidRDefault="006C4CF3" w:rsidP="00620703">
            <w:pPr>
              <w:spacing w:line="276" w:lineRule="auto"/>
              <w:jc w:val="both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268" w:type="dxa"/>
            <w:gridSpan w:val="3"/>
          </w:tcPr>
          <w:p w:rsidR="006C4CF3" w:rsidRPr="00BE299D" w:rsidRDefault="006C4CF3" w:rsidP="00620703">
            <w:pPr>
              <w:spacing w:line="276" w:lineRule="auto"/>
              <w:ind w:left="-108" w:right="-108"/>
              <w:jc w:val="both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2903" w:type="dxa"/>
          </w:tcPr>
          <w:p w:rsidR="006C4CF3" w:rsidRPr="00BE299D" w:rsidRDefault="006C4CF3" w:rsidP="00620703">
            <w:pPr>
              <w:spacing w:line="276" w:lineRule="auto"/>
              <w:jc w:val="both"/>
              <w:rPr>
                <w:rFonts w:asciiTheme="majorHAnsi" w:hAnsiTheme="majorHAnsi" w:cs="Calibri"/>
              </w:rPr>
            </w:pPr>
          </w:p>
        </w:tc>
      </w:tr>
      <w:tr w:rsidR="006C4CF3" w:rsidRPr="00BE299D" w:rsidTr="00D46325">
        <w:tblPrEx>
          <w:tblLook w:val="00A0" w:firstRow="1" w:lastRow="0" w:firstColumn="1" w:lastColumn="0" w:noHBand="0" w:noVBand="0"/>
        </w:tblPrEx>
        <w:tc>
          <w:tcPr>
            <w:tcW w:w="1242" w:type="dxa"/>
            <w:gridSpan w:val="2"/>
          </w:tcPr>
          <w:p w:rsidR="006C4CF3" w:rsidRPr="00BE299D" w:rsidRDefault="00FE5123" w:rsidP="00FE5123">
            <w:pPr>
              <w:spacing w:line="276" w:lineRule="auto"/>
              <w:ind w:right="-108"/>
              <w:outlineLvl w:val="0"/>
              <w:rPr>
                <w:rFonts w:asciiTheme="majorHAnsi" w:hAnsiTheme="majorHAnsi" w:cs="Calibri"/>
                <w:b/>
                <w:bCs/>
              </w:rPr>
            </w:pPr>
            <w:bookmarkStart w:id="3" w:name="FAX"/>
            <w:bookmarkEnd w:id="3"/>
            <w:r w:rsidRPr="00BE299D">
              <w:rPr>
                <w:rFonts w:asciiTheme="majorHAnsi" w:hAnsiTheme="majorHAnsi" w:cs="Calibri"/>
                <w:b/>
                <w:bCs/>
              </w:rPr>
              <w:t xml:space="preserve">    </w:t>
            </w:r>
            <w:r w:rsidR="006C4CF3" w:rsidRPr="00BE299D">
              <w:rPr>
                <w:rFonts w:asciiTheme="majorHAnsi" w:hAnsiTheme="majorHAnsi" w:cs="Calibri"/>
                <w:b/>
                <w:bCs/>
              </w:rPr>
              <w:t>ΠΡΟΣ :</w:t>
            </w:r>
          </w:p>
        </w:tc>
        <w:tc>
          <w:tcPr>
            <w:tcW w:w="5269" w:type="dxa"/>
            <w:gridSpan w:val="3"/>
          </w:tcPr>
          <w:p w:rsidR="00FE5123" w:rsidRPr="00BE299D" w:rsidRDefault="00A6600B" w:rsidP="00FE5123">
            <w:pPr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Β4</w:t>
            </w:r>
            <w:r w:rsidR="00FE5123" w:rsidRPr="00BE299D">
              <w:rPr>
                <w:rFonts w:asciiTheme="majorHAnsi" w:hAnsiTheme="majorHAnsi"/>
              </w:rPr>
              <w:t xml:space="preserve"> Δ/νση</w:t>
            </w:r>
          </w:p>
          <w:p w:rsidR="0023668E" w:rsidRPr="00BE299D" w:rsidRDefault="0023668E" w:rsidP="00B8224D">
            <w:pPr>
              <w:spacing w:line="276" w:lineRule="auto"/>
              <w:ind w:left="426" w:right="-108"/>
              <w:jc w:val="both"/>
              <w:outlineLvl w:val="0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3911" w:type="dxa"/>
            <w:gridSpan w:val="4"/>
          </w:tcPr>
          <w:p w:rsidR="006C4CF3" w:rsidRPr="00BE299D" w:rsidRDefault="006C4CF3" w:rsidP="007631AE">
            <w:pPr>
              <w:spacing w:line="276" w:lineRule="auto"/>
              <w:ind w:left="426" w:firstLine="425"/>
              <w:jc w:val="both"/>
              <w:outlineLvl w:val="0"/>
              <w:rPr>
                <w:rFonts w:asciiTheme="majorHAnsi" w:hAnsiTheme="majorHAnsi" w:cs="Calibri"/>
                <w:b/>
                <w:bCs/>
              </w:rPr>
            </w:pPr>
          </w:p>
        </w:tc>
      </w:tr>
      <w:tr w:rsidR="00A702D4" w:rsidRPr="00BE299D" w:rsidTr="00D46325">
        <w:tblPrEx>
          <w:tblLook w:val="00A0" w:firstRow="1" w:lastRow="0" w:firstColumn="1" w:lastColumn="0" w:noHBand="0" w:noVBand="0"/>
        </w:tblPrEx>
        <w:tc>
          <w:tcPr>
            <w:tcW w:w="1242" w:type="dxa"/>
            <w:gridSpan w:val="2"/>
          </w:tcPr>
          <w:p w:rsidR="00A702D4" w:rsidRPr="00BE299D" w:rsidRDefault="00FE5123" w:rsidP="00FE5123">
            <w:pPr>
              <w:spacing w:line="276" w:lineRule="auto"/>
              <w:ind w:right="-108"/>
              <w:outlineLvl w:val="0"/>
              <w:rPr>
                <w:rFonts w:asciiTheme="majorHAnsi" w:hAnsiTheme="majorHAnsi" w:cs="Calibri"/>
                <w:b/>
                <w:bCs/>
              </w:rPr>
            </w:pPr>
            <w:r w:rsidRPr="00BE299D">
              <w:rPr>
                <w:rFonts w:asciiTheme="majorHAnsi" w:hAnsiTheme="majorHAnsi" w:cs="Calibri"/>
                <w:b/>
                <w:bCs/>
              </w:rPr>
              <w:t xml:space="preserve">    </w:t>
            </w:r>
            <w:r w:rsidR="00A702D4" w:rsidRPr="00BE299D">
              <w:rPr>
                <w:rFonts w:asciiTheme="majorHAnsi" w:hAnsiTheme="majorHAnsi" w:cs="Calibri"/>
                <w:b/>
                <w:bCs/>
              </w:rPr>
              <w:t>ΚΟΙΝ.:</w:t>
            </w:r>
          </w:p>
        </w:tc>
        <w:tc>
          <w:tcPr>
            <w:tcW w:w="5269" w:type="dxa"/>
            <w:gridSpan w:val="3"/>
          </w:tcPr>
          <w:p w:rsidR="00905C67" w:rsidRDefault="00A6600B" w:rsidP="00905C67">
            <w:pPr>
              <w:spacing w:line="276" w:lineRule="auto"/>
              <w:ind w:left="18" w:hanging="18"/>
              <w:jc w:val="both"/>
              <w:outlineLvl w:val="0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/>
              </w:rPr>
              <w:t>Ως Πίνακας Αποδεκτών</w:t>
            </w:r>
          </w:p>
          <w:p w:rsidR="00905C67" w:rsidRPr="00BE299D" w:rsidRDefault="00905C67" w:rsidP="00905C67">
            <w:pPr>
              <w:spacing w:line="276" w:lineRule="auto"/>
              <w:ind w:left="18" w:hanging="18"/>
              <w:jc w:val="both"/>
              <w:outlineLvl w:val="0"/>
              <w:rPr>
                <w:rFonts w:asciiTheme="majorHAnsi" w:hAnsiTheme="majorHAnsi" w:cs="Calibri"/>
                <w:b/>
                <w:bCs/>
              </w:rPr>
            </w:pPr>
          </w:p>
        </w:tc>
        <w:tc>
          <w:tcPr>
            <w:tcW w:w="3911" w:type="dxa"/>
            <w:gridSpan w:val="4"/>
            <w:vAlign w:val="center"/>
          </w:tcPr>
          <w:p w:rsidR="00A702D4" w:rsidRPr="00BE299D" w:rsidRDefault="00A702D4" w:rsidP="00A57BFA">
            <w:pPr>
              <w:outlineLvl w:val="0"/>
              <w:rPr>
                <w:rFonts w:asciiTheme="majorHAnsi" w:hAnsiTheme="majorHAnsi" w:cs="Calibri"/>
                <w:b/>
                <w:bCs/>
                <w:noProof/>
              </w:rPr>
            </w:pPr>
          </w:p>
          <w:p w:rsidR="00A702D4" w:rsidRPr="00BE299D" w:rsidRDefault="00A702D4" w:rsidP="00A57BFA">
            <w:pPr>
              <w:outlineLvl w:val="0"/>
              <w:rPr>
                <w:rFonts w:asciiTheme="majorHAnsi" w:hAnsiTheme="majorHAnsi" w:cs="Calibri"/>
                <w:b/>
                <w:bCs/>
                <w:noProof/>
              </w:rPr>
            </w:pPr>
            <w:r w:rsidRPr="00BE299D">
              <w:rPr>
                <w:rFonts w:asciiTheme="majorHAnsi" w:hAnsiTheme="majorHAnsi" w:cs="Calibri"/>
                <w:b/>
                <w:bCs/>
                <w:noProof/>
              </w:rPr>
              <w:t xml:space="preserve">               </w:t>
            </w:r>
          </w:p>
          <w:p w:rsidR="00A702D4" w:rsidRPr="00BE299D" w:rsidRDefault="00A702D4" w:rsidP="00A57BFA">
            <w:pPr>
              <w:outlineLvl w:val="0"/>
              <w:rPr>
                <w:rFonts w:asciiTheme="majorHAnsi" w:hAnsiTheme="majorHAnsi" w:cs="Calibri"/>
                <w:b/>
                <w:bCs/>
                <w:noProof/>
              </w:rPr>
            </w:pPr>
          </w:p>
        </w:tc>
      </w:tr>
      <w:tr w:rsidR="00A51E17" w:rsidRPr="00BE299D" w:rsidTr="00D46325">
        <w:tblPrEx>
          <w:tblLook w:val="00A0" w:firstRow="1" w:lastRow="0" w:firstColumn="1" w:lastColumn="0" w:noHBand="0" w:noVBand="0"/>
        </w:tblPrEx>
        <w:trPr>
          <w:gridAfter w:val="1"/>
          <w:wAfter w:w="26" w:type="dxa"/>
          <w:trHeight w:val="452"/>
        </w:trPr>
        <w:tc>
          <w:tcPr>
            <w:tcW w:w="1242" w:type="dxa"/>
            <w:gridSpan w:val="2"/>
          </w:tcPr>
          <w:p w:rsidR="00A51E17" w:rsidRPr="00FC412F" w:rsidRDefault="00A51E17" w:rsidP="00A6600B">
            <w:pPr>
              <w:jc w:val="both"/>
              <w:rPr>
                <w:rFonts w:ascii="Cambria" w:hAnsi="Cambria" w:cs="Tahoma"/>
                <w:b/>
              </w:rPr>
            </w:pPr>
            <w:bookmarkStart w:id="4" w:name="ΔΙΑΧΩΡΙΣΤΙΚΟ_1"/>
            <w:bookmarkStart w:id="5" w:name="ΚΟΙΝΟΠΟΙΗΣΗ"/>
            <w:bookmarkStart w:id="6" w:name="ΔΙΑΧΩΡΙΣΤΙΚΟ_2"/>
            <w:bookmarkStart w:id="7" w:name="Ε_Δ"/>
            <w:bookmarkStart w:id="8" w:name="ΣΧΕΤΙΚΟ"/>
            <w:bookmarkEnd w:id="4"/>
            <w:bookmarkEnd w:id="5"/>
            <w:bookmarkEnd w:id="6"/>
            <w:bookmarkEnd w:id="7"/>
            <w:bookmarkEnd w:id="8"/>
            <w:r w:rsidRPr="00FC412F">
              <w:rPr>
                <w:rFonts w:ascii="Cambria" w:hAnsi="Cambria" w:cs="Tahoma"/>
                <w:b/>
              </w:rPr>
              <w:t xml:space="preserve">    ΘΕΜΑ:</w:t>
            </w:r>
          </w:p>
          <w:p w:rsidR="00A51E17" w:rsidRDefault="00A51E17" w:rsidP="00A6600B">
            <w:pPr>
              <w:jc w:val="both"/>
              <w:rPr>
                <w:rFonts w:ascii="Cambria" w:hAnsi="Cambria" w:cs="Tahoma"/>
              </w:rPr>
            </w:pPr>
            <w:r w:rsidRPr="00FC412F">
              <w:rPr>
                <w:rFonts w:ascii="Cambria" w:hAnsi="Cambria" w:cs="Tahoma"/>
              </w:rPr>
              <w:t xml:space="preserve">     </w:t>
            </w:r>
          </w:p>
          <w:p w:rsidR="00A51E17" w:rsidRPr="00FC412F" w:rsidRDefault="00A51E17" w:rsidP="00A6600B">
            <w:pPr>
              <w:jc w:val="both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lang w:val="en-US"/>
              </w:rPr>
              <w:t xml:space="preserve">    </w:t>
            </w:r>
            <w:proofErr w:type="spellStart"/>
            <w:r w:rsidRPr="00FC412F">
              <w:rPr>
                <w:rFonts w:ascii="Cambria" w:hAnsi="Cambria" w:cs="Tahoma"/>
                <w:b/>
              </w:rPr>
              <w:t>Σχετ</w:t>
            </w:r>
            <w:proofErr w:type="spellEnd"/>
            <w:r w:rsidRPr="00FC412F">
              <w:rPr>
                <w:rFonts w:ascii="Cambria" w:hAnsi="Cambria" w:cs="Tahoma"/>
                <w:b/>
              </w:rPr>
              <w:t>. :</w:t>
            </w:r>
          </w:p>
          <w:p w:rsidR="00A51E17" w:rsidRPr="00FC412F" w:rsidRDefault="00A51E17" w:rsidP="00A6600B">
            <w:pPr>
              <w:jc w:val="both"/>
              <w:rPr>
                <w:rFonts w:ascii="Cambria" w:hAnsi="Cambria" w:cs="Tahoma"/>
              </w:rPr>
            </w:pPr>
          </w:p>
        </w:tc>
        <w:tc>
          <w:tcPr>
            <w:tcW w:w="9154" w:type="dxa"/>
            <w:gridSpan w:val="6"/>
          </w:tcPr>
          <w:p w:rsidR="00905C67" w:rsidRDefault="002B731E" w:rsidP="00905C67">
            <w:pPr>
              <w:jc w:val="both"/>
              <w:rPr>
                <w:rFonts w:ascii="Cambria" w:hAnsi="Cambria" w:cs="Tahoma"/>
                <w:b/>
              </w:rPr>
            </w:pPr>
            <w:r>
              <w:rPr>
                <w:rFonts w:ascii="Cambria" w:hAnsi="Cambria" w:cs="Tahoma"/>
                <w:b/>
              </w:rPr>
              <w:t>Σημαντική αύξηση ελληνικών εξαγωγών προς τη Σουηδία κατά την περίοδο Ιανουαρίου-Αυγούστου 2018/2017 κατά 17,6%</w:t>
            </w:r>
            <w:r w:rsidR="00905C67">
              <w:rPr>
                <w:rFonts w:ascii="Cambria" w:hAnsi="Cambria" w:cs="Tahoma"/>
                <w:b/>
              </w:rPr>
              <w:t>.</w:t>
            </w:r>
          </w:p>
          <w:p w:rsidR="00A51E17" w:rsidRDefault="002B731E" w:rsidP="002B731E">
            <w:pPr>
              <w:pStyle w:val="a6"/>
              <w:numPr>
                <w:ilvl w:val="0"/>
                <w:numId w:val="10"/>
              </w:numPr>
              <w:jc w:val="both"/>
              <w:rPr>
                <w:rFonts w:ascii="Cambria" w:hAnsi="Cambria" w:cs="Tahoma"/>
              </w:rPr>
            </w:pPr>
            <w:r>
              <w:rPr>
                <w:rFonts w:ascii="Cambria" w:hAnsi="Cambria" w:cs="Tahoma"/>
              </w:rPr>
              <w:t>Έγγραφο Γραφείου Α.Π.89/5-3</w:t>
            </w:r>
            <w:r w:rsidR="00A51E17" w:rsidRPr="002B731E">
              <w:rPr>
                <w:rFonts w:ascii="Cambria" w:hAnsi="Cambria" w:cs="Tahoma"/>
              </w:rPr>
              <w:t>-2018</w:t>
            </w:r>
          </w:p>
          <w:p w:rsidR="00A51E17" w:rsidRDefault="002B731E" w:rsidP="002B731E">
            <w:pPr>
              <w:pStyle w:val="a6"/>
              <w:numPr>
                <w:ilvl w:val="0"/>
                <w:numId w:val="10"/>
              </w:numPr>
              <w:jc w:val="both"/>
              <w:rPr>
                <w:rFonts w:ascii="Cambria" w:hAnsi="Cambria" w:cs="Tahoma"/>
              </w:rPr>
            </w:pPr>
            <w:r w:rsidRPr="002B731E">
              <w:rPr>
                <w:rFonts w:ascii="Cambria" w:hAnsi="Cambria" w:cs="Tahoma"/>
              </w:rPr>
              <w:t>Έγγραφο Γραφείου Α.Π.73/22-2-2018</w:t>
            </w:r>
          </w:p>
          <w:p w:rsidR="002B731E" w:rsidRPr="002B731E" w:rsidRDefault="002B731E" w:rsidP="002B731E">
            <w:pPr>
              <w:pStyle w:val="a6"/>
              <w:jc w:val="both"/>
              <w:rPr>
                <w:rFonts w:ascii="Cambria" w:hAnsi="Cambria" w:cs="Tahoma"/>
              </w:rPr>
            </w:pPr>
          </w:p>
        </w:tc>
      </w:tr>
    </w:tbl>
    <w:p w:rsidR="00C56391" w:rsidRDefault="00905C67" w:rsidP="00905C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</w:t>
      </w:r>
    </w:p>
    <w:p w:rsidR="00C56391" w:rsidRPr="00C56391" w:rsidRDefault="00C56391" w:rsidP="00C56391">
      <w:pPr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     Όπως προκύπτει από τα στοιχεία της ΕΛ.ΣΤΑΤ. για το σύνολο του 2017, </w:t>
      </w:r>
      <w:r w:rsidRPr="00C56391">
        <w:rPr>
          <w:rFonts w:ascii="Cambria" w:hAnsi="Cambria" w:cs="Tahoma"/>
        </w:rPr>
        <w:t>η συνολική αξία των ελληνικών εξαγωγών κατά το χρονικό διάστημα Ιανουαρίου-Δεκε</w:t>
      </w:r>
      <w:r w:rsidR="00A6600B">
        <w:rPr>
          <w:rFonts w:ascii="Cambria" w:hAnsi="Cambria" w:cs="Tahoma"/>
        </w:rPr>
        <w:t xml:space="preserve">μβρίου 2017 ανήλθε στο ποσό των </w:t>
      </w:r>
      <w:r w:rsidRPr="00C56391">
        <w:rPr>
          <w:rFonts w:ascii="Cambria" w:hAnsi="Cambria" w:cs="Tahoma"/>
        </w:rPr>
        <w:t xml:space="preserve">28.832,0 εκατ. Ευρώ, έναντι 25.463,5 εκατ. Ευρώ κατά το ίδιο διάστημα του 2016, </w:t>
      </w:r>
      <w:r w:rsidR="00DA0756">
        <w:rPr>
          <w:rFonts w:ascii="Cambria" w:hAnsi="Cambria" w:cs="Tahoma"/>
        </w:rPr>
        <w:t>παρουσιάζοντας αύξηση 13,2%.</w:t>
      </w:r>
      <w:r w:rsidRPr="00C56391">
        <w:rPr>
          <w:rFonts w:ascii="Cambria" w:hAnsi="Cambria" w:cs="Tahoma"/>
        </w:rPr>
        <w:t xml:space="preserve"> </w:t>
      </w:r>
    </w:p>
    <w:p w:rsidR="00C56391" w:rsidRPr="00E63F57" w:rsidRDefault="00C56391" w:rsidP="00C56391">
      <w:pPr>
        <w:jc w:val="both"/>
        <w:rPr>
          <w:rFonts w:ascii="Cambria" w:hAnsi="Cambria" w:cs="Tahoma"/>
        </w:rPr>
      </w:pPr>
      <w:r w:rsidRPr="00C56391">
        <w:rPr>
          <w:rFonts w:ascii="Cambria" w:hAnsi="Cambria" w:cs="Tahoma"/>
        </w:rPr>
        <w:t xml:space="preserve">    Ακολουθώντας τη γενικότερη αυτή αύξηση και οι εξαγωγές προς </w:t>
      </w:r>
      <w:r w:rsidR="004876A6">
        <w:rPr>
          <w:rFonts w:ascii="Cambria" w:hAnsi="Cambria" w:cs="Tahoma"/>
        </w:rPr>
        <w:t xml:space="preserve">τη </w:t>
      </w:r>
      <w:r w:rsidRPr="00C56391">
        <w:rPr>
          <w:rFonts w:ascii="Cambria" w:hAnsi="Cambria" w:cs="Tahoma"/>
        </w:rPr>
        <w:t xml:space="preserve">Σουηδία, αυξήθηκαν φθάνοντας κατά το 2017 στα 192,8 </w:t>
      </w:r>
      <w:proofErr w:type="spellStart"/>
      <w:r w:rsidRPr="00C56391">
        <w:rPr>
          <w:rFonts w:ascii="Cambria" w:hAnsi="Cambria" w:cs="Tahoma"/>
        </w:rPr>
        <w:t>εκ.Ευρώ</w:t>
      </w:r>
      <w:proofErr w:type="spellEnd"/>
      <w:r w:rsidRPr="00C56391">
        <w:rPr>
          <w:rFonts w:ascii="Cambria" w:hAnsi="Cambria" w:cs="Tahoma"/>
        </w:rPr>
        <w:t xml:space="preserve">, έναντι 182,7 </w:t>
      </w:r>
      <w:proofErr w:type="spellStart"/>
      <w:r w:rsidRPr="00C56391">
        <w:rPr>
          <w:rFonts w:ascii="Cambria" w:hAnsi="Cambria" w:cs="Tahoma"/>
        </w:rPr>
        <w:t>εκ.Ευρώ</w:t>
      </w:r>
      <w:proofErr w:type="spellEnd"/>
      <w:r w:rsidRPr="00C56391">
        <w:rPr>
          <w:rFonts w:ascii="Cambria" w:hAnsi="Cambria" w:cs="Tahoma"/>
        </w:rPr>
        <w:t xml:space="preserve"> του 2016, σημειώνοντας αύξηση κατά 9,9 </w:t>
      </w:r>
      <w:proofErr w:type="spellStart"/>
      <w:r w:rsidRPr="00C56391">
        <w:rPr>
          <w:rFonts w:ascii="Cambria" w:hAnsi="Cambria" w:cs="Tahoma"/>
        </w:rPr>
        <w:t>εκ.Ευρώ</w:t>
      </w:r>
      <w:proofErr w:type="spellEnd"/>
      <w:r w:rsidRPr="00C56391">
        <w:rPr>
          <w:rFonts w:ascii="Cambria" w:hAnsi="Cambria" w:cs="Tahoma"/>
        </w:rPr>
        <w:t xml:space="preserve"> και </w:t>
      </w:r>
      <w:r w:rsidRPr="00E63F57">
        <w:rPr>
          <w:rFonts w:ascii="Cambria" w:hAnsi="Cambria" w:cs="Tahoma"/>
        </w:rPr>
        <w:t xml:space="preserve">ποσοστό αύξησης κατά 5,5% και </w:t>
      </w:r>
      <w:r w:rsidR="004876A6">
        <w:rPr>
          <w:rFonts w:ascii="Cambria" w:hAnsi="Cambria" w:cs="Tahoma"/>
        </w:rPr>
        <w:t xml:space="preserve">μάλιστα </w:t>
      </w:r>
      <w:r w:rsidRPr="00E63F57">
        <w:rPr>
          <w:rFonts w:ascii="Cambria" w:hAnsi="Cambria" w:cs="Tahoma"/>
        </w:rPr>
        <w:t xml:space="preserve">υπερέβησαν για πρώτη φορά το φράγμα των 190 </w:t>
      </w:r>
      <w:proofErr w:type="spellStart"/>
      <w:r w:rsidRPr="00E63F57">
        <w:rPr>
          <w:rFonts w:ascii="Cambria" w:hAnsi="Cambria" w:cs="Tahoma"/>
        </w:rPr>
        <w:t>εκ.Ευρώ</w:t>
      </w:r>
      <w:proofErr w:type="spellEnd"/>
      <w:r w:rsidR="00A6600B">
        <w:rPr>
          <w:rFonts w:ascii="Cambria" w:hAnsi="Cambria" w:cs="Tahoma"/>
        </w:rPr>
        <w:t xml:space="preserve"> (</w:t>
      </w:r>
      <w:proofErr w:type="spellStart"/>
      <w:r w:rsidR="00A6600B">
        <w:rPr>
          <w:rFonts w:ascii="Cambria" w:hAnsi="Cambria" w:cs="Tahoma"/>
        </w:rPr>
        <w:t>αν.σχετικά</w:t>
      </w:r>
      <w:proofErr w:type="spellEnd"/>
      <w:r w:rsidR="00A6600B">
        <w:rPr>
          <w:rFonts w:ascii="Cambria" w:hAnsi="Cambria" w:cs="Tahoma"/>
        </w:rPr>
        <w:t xml:space="preserve"> έγγραφα)</w:t>
      </w:r>
      <w:r w:rsidRPr="00E63F57">
        <w:rPr>
          <w:rFonts w:ascii="Cambria" w:hAnsi="Cambria" w:cs="Tahoma"/>
        </w:rPr>
        <w:t>.</w:t>
      </w:r>
    </w:p>
    <w:p w:rsidR="00DA0756" w:rsidRDefault="00DA0756" w:rsidP="00C56391">
      <w:pPr>
        <w:jc w:val="both"/>
        <w:rPr>
          <w:rFonts w:ascii="Cambria" w:hAnsi="Cambria" w:cs="Tahoma"/>
          <w:b/>
        </w:rPr>
      </w:pPr>
    </w:p>
    <w:p w:rsidR="00C56391" w:rsidRDefault="00DA0756" w:rsidP="00905C67">
      <w:pPr>
        <w:jc w:val="both"/>
        <w:rPr>
          <w:rFonts w:ascii="Cambria" w:hAnsi="Cambria" w:cs="Tahoma"/>
        </w:rPr>
      </w:pPr>
      <w:r>
        <w:rPr>
          <w:rFonts w:ascii="Cambria" w:hAnsi="Cambria" w:cs="Tahoma"/>
          <w:b/>
        </w:rPr>
        <w:t xml:space="preserve">   </w:t>
      </w:r>
      <w:r w:rsidRPr="00DA0756">
        <w:rPr>
          <w:rFonts w:ascii="Cambria" w:hAnsi="Cambria" w:cs="Tahoma"/>
        </w:rPr>
        <w:t xml:space="preserve"> Σύμφωνα με τα πρόσφατα στοιχεία της ΕΛ.ΣΤΑΤ. και όσον αφορ</w:t>
      </w:r>
      <w:r>
        <w:rPr>
          <w:rFonts w:ascii="Cambria" w:hAnsi="Cambria" w:cs="Tahoma"/>
        </w:rPr>
        <w:t>ά στη</w:t>
      </w:r>
      <w:r w:rsidRPr="00DA0756">
        <w:rPr>
          <w:rFonts w:ascii="Cambria" w:hAnsi="Cambria" w:cs="Tahoma"/>
        </w:rPr>
        <w:t xml:space="preserve"> πορεία των ελληνικών εξαγωγών για την περίοδο Ιανου</w:t>
      </w:r>
      <w:r>
        <w:rPr>
          <w:rFonts w:ascii="Cambria" w:hAnsi="Cambria" w:cs="Tahoma"/>
        </w:rPr>
        <w:t>αρίου</w:t>
      </w:r>
      <w:r w:rsidRPr="00DA0756">
        <w:rPr>
          <w:rFonts w:ascii="Cambria" w:hAnsi="Cambria" w:cs="Tahoma"/>
        </w:rPr>
        <w:t>-Α</w:t>
      </w:r>
      <w:r>
        <w:rPr>
          <w:rFonts w:ascii="Cambria" w:hAnsi="Cambria" w:cs="Tahoma"/>
        </w:rPr>
        <w:t>υγούστου</w:t>
      </w:r>
      <w:r w:rsidRPr="00DA0756">
        <w:rPr>
          <w:rFonts w:ascii="Cambria" w:hAnsi="Cambria" w:cs="Tahoma"/>
        </w:rPr>
        <w:t xml:space="preserve"> 2018, </w:t>
      </w:r>
      <w:r w:rsidR="00A6600B">
        <w:rPr>
          <w:rFonts w:ascii="Cambria" w:hAnsi="Cambria" w:cs="Tahoma"/>
        </w:rPr>
        <w:t xml:space="preserve">προκύπτει ότι </w:t>
      </w:r>
      <w:r>
        <w:rPr>
          <w:rFonts w:ascii="Cambria" w:hAnsi="Cambria" w:cs="Tahoma"/>
        </w:rPr>
        <w:t>η</w:t>
      </w:r>
      <w:r w:rsidRPr="00DA0756">
        <w:rPr>
          <w:rFonts w:ascii="Cambria" w:hAnsi="Cambria" w:cs="Tahoma"/>
        </w:rPr>
        <w:t xml:space="preserve"> συνολική αξία των </w:t>
      </w:r>
      <w:r>
        <w:rPr>
          <w:rFonts w:ascii="Cambria" w:hAnsi="Cambria" w:cs="Tahoma"/>
        </w:rPr>
        <w:t xml:space="preserve">ελληνικών </w:t>
      </w:r>
      <w:r w:rsidRPr="00DA0756">
        <w:rPr>
          <w:rFonts w:ascii="Cambria" w:hAnsi="Cambria" w:cs="Tahoma"/>
        </w:rPr>
        <w:t>εξαγωγών ανήλθε στο ποσό των 21.961,3 εκατ. Ευρώ</w:t>
      </w:r>
      <w:r>
        <w:rPr>
          <w:rFonts w:ascii="Cambria" w:hAnsi="Cambria" w:cs="Tahoma"/>
        </w:rPr>
        <w:t>,</w:t>
      </w:r>
      <w:r w:rsidRPr="00DA0756">
        <w:rPr>
          <w:rFonts w:ascii="Cambria" w:hAnsi="Cambria" w:cs="Tahoma"/>
        </w:rPr>
        <w:t xml:space="preserve"> </w:t>
      </w:r>
      <w:r>
        <w:rPr>
          <w:rFonts w:ascii="Cambria" w:hAnsi="Cambria" w:cs="Tahoma"/>
        </w:rPr>
        <w:t>έναντι 18.674,7 εκατ. ευρώ</w:t>
      </w:r>
      <w:r w:rsidRPr="00DA0756">
        <w:rPr>
          <w:rFonts w:ascii="Cambria" w:hAnsi="Cambria" w:cs="Tahoma"/>
        </w:rPr>
        <w:t xml:space="preserve"> </w:t>
      </w:r>
      <w:r w:rsidR="00D14278">
        <w:rPr>
          <w:rFonts w:ascii="Cambria" w:hAnsi="Cambria" w:cs="Tahoma"/>
        </w:rPr>
        <w:t xml:space="preserve">κατά το ίδιο διάστημα του </w:t>
      </w:r>
      <w:r w:rsidRPr="00DA0756">
        <w:rPr>
          <w:rFonts w:ascii="Cambria" w:hAnsi="Cambria" w:cs="Tahoma"/>
        </w:rPr>
        <w:t xml:space="preserve">2017, </w:t>
      </w:r>
      <w:r w:rsidRPr="00DA0756">
        <w:rPr>
          <w:rFonts w:ascii="Cambria" w:hAnsi="Cambria" w:cs="Tahoma"/>
          <w:b/>
        </w:rPr>
        <w:t>παρουσιάζοντας αύξηση κατά 17,6%.</w:t>
      </w:r>
      <w:r w:rsidRPr="00DA0756">
        <w:rPr>
          <w:rFonts w:ascii="Cambria" w:hAnsi="Cambria" w:cs="Tahoma"/>
        </w:rPr>
        <w:t xml:space="preserve"> </w:t>
      </w:r>
    </w:p>
    <w:p w:rsidR="00DA0756" w:rsidRPr="00E63F57" w:rsidRDefault="00DA0756" w:rsidP="00905C67">
      <w:pPr>
        <w:jc w:val="both"/>
        <w:rPr>
          <w:rFonts w:ascii="Cambria" w:hAnsi="Cambria" w:cs="Tahoma"/>
          <w:b/>
        </w:rPr>
      </w:pPr>
      <w:r>
        <w:rPr>
          <w:rFonts w:ascii="Cambria" w:hAnsi="Cambria" w:cs="Tahoma"/>
        </w:rPr>
        <w:t xml:space="preserve">   </w:t>
      </w:r>
      <w:r w:rsidRPr="00C56391">
        <w:rPr>
          <w:rFonts w:ascii="Cambria" w:hAnsi="Cambria" w:cs="Tahoma"/>
        </w:rPr>
        <w:t xml:space="preserve">Ακολουθώντας τη γενικότερη αυτή αύξηση και οι εξαγωγές προς </w:t>
      </w:r>
      <w:r w:rsidR="00A6600B">
        <w:rPr>
          <w:rFonts w:ascii="Cambria" w:hAnsi="Cambria" w:cs="Tahoma"/>
        </w:rPr>
        <w:t xml:space="preserve">τη </w:t>
      </w:r>
      <w:r w:rsidRPr="00C56391">
        <w:rPr>
          <w:rFonts w:ascii="Cambria" w:hAnsi="Cambria" w:cs="Tahoma"/>
        </w:rPr>
        <w:t>Σουη</w:t>
      </w:r>
      <w:r>
        <w:rPr>
          <w:rFonts w:ascii="Cambria" w:hAnsi="Cambria" w:cs="Tahoma"/>
        </w:rPr>
        <w:t xml:space="preserve">δία, αυξήθηκαν φθάνοντας κατά την ανωτέρω περίοδο του 2018 στα 150,5 </w:t>
      </w:r>
      <w:proofErr w:type="spellStart"/>
      <w:r>
        <w:rPr>
          <w:rFonts w:ascii="Cambria" w:hAnsi="Cambria" w:cs="Tahoma"/>
        </w:rPr>
        <w:t>εκ.Ευρώ</w:t>
      </w:r>
      <w:proofErr w:type="spellEnd"/>
      <w:r>
        <w:rPr>
          <w:rFonts w:ascii="Cambria" w:hAnsi="Cambria" w:cs="Tahoma"/>
        </w:rPr>
        <w:t xml:space="preserve">, έναντι 127,9 </w:t>
      </w:r>
      <w:proofErr w:type="spellStart"/>
      <w:r>
        <w:rPr>
          <w:rFonts w:ascii="Cambria" w:hAnsi="Cambria" w:cs="Tahoma"/>
        </w:rPr>
        <w:t>εκ.Ευρώ</w:t>
      </w:r>
      <w:proofErr w:type="spellEnd"/>
      <w:r>
        <w:rPr>
          <w:rFonts w:ascii="Cambria" w:hAnsi="Cambria" w:cs="Tahoma"/>
        </w:rPr>
        <w:t xml:space="preserve"> της αντίστοιχης περιόδου του 2017</w:t>
      </w:r>
      <w:r w:rsidRPr="00C56391">
        <w:rPr>
          <w:rFonts w:ascii="Cambria" w:hAnsi="Cambria" w:cs="Tahoma"/>
        </w:rPr>
        <w:t xml:space="preserve">, σημειώνοντας </w:t>
      </w:r>
      <w:r>
        <w:rPr>
          <w:rFonts w:ascii="Cambria" w:hAnsi="Cambria" w:cs="Tahoma"/>
        </w:rPr>
        <w:t>αύξηση κατά 22,6</w:t>
      </w:r>
      <w:r w:rsidRPr="00C56391">
        <w:rPr>
          <w:rFonts w:ascii="Cambria" w:hAnsi="Cambria" w:cs="Tahoma"/>
        </w:rPr>
        <w:t xml:space="preserve"> </w:t>
      </w:r>
      <w:proofErr w:type="spellStart"/>
      <w:r w:rsidRPr="00C56391">
        <w:rPr>
          <w:rFonts w:ascii="Cambria" w:hAnsi="Cambria" w:cs="Tahoma"/>
        </w:rPr>
        <w:t>εκ.Ευρώ</w:t>
      </w:r>
      <w:proofErr w:type="spellEnd"/>
      <w:r w:rsidRPr="00C56391">
        <w:rPr>
          <w:rFonts w:ascii="Cambria" w:hAnsi="Cambria" w:cs="Tahoma"/>
        </w:rPr>
        <w:t xml:space="preserve"> και </w:t>
      </w:r>
      <w:r>
        <w:rPr>
          <w:rFonts w:ascii="Cambria" w:hAnsi="Cambria" w:cs="Tahoma"/>
          <w:b/>
        </w:rPr>
        <w:t xml:space="preserve">ποσοστό αύξησης κατά 17,7%, </w:t>
      </w:r>
      <w:r w:rsidRPr="00DA0756">
        <w:rPr>
          <w:rFonts w:ascii="Cambria" w:hAnsi="Cambria" w:cs="Tahoma"/>
          <w:u w:val="single"/>
        </w:rPr>
        <w:t>ενώ παράλληλα σημειώνεται ότι εάν αυτοί οι ρυθμοί αύξησης διατηρηθούν στο πάνω από 10%</w:t>
      </w:r>
      <w:r w:rsidR="00A6600B">
        <w:rPr>
          <w:rFonts w:ascii="Cambria" w:hAnsi="Cambria" w:cs="Tahoma"/>
          <w:u w:val="single"/>
        </w:rPr>
        <w:t xml:space="preserve"> κατά τους επόμενους 4 μήνες του </w:t>
      </w:r>
      <w:proofErr w:type="spellStart"/>
      <w:r w:rsidR="00A6600B">
        <w:rPr>
          <w:rFonts w:ascii="Cambria" w:hAnsi="Cambria" w:cs="Tahoma"/>
          <w:u w:val="single"/>
        </w:rPr>
        <w:t>τ.έ</w:t>
      </w:r>
      <w:proofErr w:type="spellEnd"/>
      <w:r w:rsidR="00A6600B">
        <w:rPr>
          <w:rFonts w:ascii="Cambria" w:hAnsi="Cambria" w:cs="Tahoma"/>
          <w:u w:val="single"/>
        </w:rPr>
        <w:t>.</w:t>
      </w:r>
      <w:r w:rsidRPr="00DA0756">
        <w:rPr>
          <w:rFonts w:ascii="Cambria" w:hAnsi="Cambria" w:cs="Tahoma"/>
          <w:u w:val="single"/>
        </w:rPr>
        <w:t xml:space="preserve">, </w:t>
      </w:r>
      <w:r w:rsidRPr="00E63F57">
        <w:rPr>
          <w:rFonts w:ascii="Cambria" w:hAnsi="Cambria" w:cs="Tahoma"/>
          <w:b/>
        </w:rPr>
        <w:t xml:space="preserve">τότε οι ελληνικές εξαγωγές στη Σουηδία θα υπερβούν για πρώτη φορά το φράγμα των 200 </w:t>
      </w:r>
      <w:proofErr w:type="spellStart"/>
      <w:r w:rsidRPr="00E63F57">
        <w:rPr>
          <w:rFonts w:ascii="Cambria" w:hAnsi="Cambria" w:cs="Tahoma"/>
          <w:b/>
        </w:rPr>
        <w:t>εκ.Ευρώ</w:t>
      </w:r>
      <w:proofErr w:type="spellEnd"/>
      <w:r w:rsidR="00A6600B">
        <w:rPr>
          <w:rFonts w:ascii="Cambria" w:hAnsi="Cambria" w:cs="Tahoma"/>
          <w:b/>
        </w:rPr>
        <w:t>/έτος</w:t>
      </w:r>
      <w:r w:rsidR="00E63F57">
        <w:rPr>
          <w:rFonts w:ascii="Cambria" w:hAnsi="Cambria" w:cs="Tahoma"/>
          <w:b/>
        </w:rPr>
        <w:t>.</w:t>
      </w:r>
    </w:p>
    <w:p w:rsidR="00DA0756" w:rsidRDefault="00DA0756" w:rsidP="00905C67">
      <w:pPr>
        <w:jc w:val="both"/>
        <w:rPr>
          <w:rFonts w:asciiTheme="majorHAnsi" w:hAnsiTheme="majorHAnsi"/>
        </w:rPr>
      </w:pPr>
    </w:p>
    <w:p w:rsidR="00905C67" w:rsidRDefault="00E63F57" w:rsidP="00905C6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Αναλυτικότερα και όπως προκύπτει από την επεξεργασία των σχετικών πινάκων της ΕΛ.ΣΤΑΤ., κατά την ανωτέρω περίοδο, προκύπτει </w:t>
      </w:r>
      <w:r w:rsidR="00A6600B">
        <w:rPr>
          <w:rFonts w:asciiTheme="majorHAnsi" w:hAnsiTheme="majorHAnsi"/>
        </w:rPr>
        <w:t xml:space="preserve">ότι στο σύνολο σχεδόν των </w:t>
      </w:r>
      <w:r>
        <w:rPr>
          <w:rFonts w:asciiTheme="majorHAnsi" w:hAnsiTheme="majorHAnsi"/>
        </w:rPr>
        <w:t>κυριότερα εξαγ</w:t>
      </w:r>
      <w:r w:rsidR="00A6600B">
        <w:rPr>
          <w:rFonts w:asciiTheme="majorHAnsi" w:hAnsiTheme="majorHAnsi"/>
        </w:rPr>
        <w:t>όμενων</w:t>
      </w:r>
      <w:r>
        <w:rPr>
          <w:rFonts w:asciiTheme="majorHAnsi" w:hAnsiTheme="majorHAnsi"/>
        </w:rPr>
        <w:t xml:space="preserve"> στη Σουηδία προϊ</w:t>
      </w:r>
      <w:r w:rsidR="00A6600B">
        <w:rPr>
          <w:rFonts w:asciiTheme="majorHAnsi" w:hAnsiTheme="majorHAnsi"/>
        </w:rPr>
        <w:t>όντων</w:t>
      </w:r>
      <w:r>
        <w:rPr>
          <w:rFonts w:asciiTheme="majorHAnsi" w:hAnsiTheme="majorHAnsi"/>
        </w:rPr>
        <w:t xml:space="preserve"> </w:t>
      </w:r>
      <w:r w:rsidR="00A6600B">
        <w:rPr>
          <w:rFonts w:asciiTheme="majorHAnsi" w:hAnsiTheme="majorHAnsi"/>
        </w:rPr>
        <w:t>παρουσιάζεται (σημαντική) αύξηση</w:t>
      </w:r>
      <w:r>
        <w:rPr>
          <w:rFonts w:asciiTheme="majorHAnsi" w:hAnsiTheme="majorHAnsi"/>
        </w:rPr>
        <w:t>.</w:t>
      </w:r>
    </w:p>
    <w:p w:rsidR="00E63F57" w:rsidRDefault="00E63F57" w:rsidP="00905C67">
      <w:pPr>
        <w:jc w:val="both"/>
        <w:rPr>
          <w:rFonts w:asciiTheme="majorHAnsi" w:hAnsiTheme="majorHAnsi"/>
        </w:rPr>
      </w:pPr>
      <w:r w:rsidRPr="009B70AD">
        <w:rPr>
          <w:rFonts w:asciiTheme="majorHAnsi" w:hAnsiTheme="majorHAnsi"/>
          <w:b/>
        </w:rPr>
        <w:t xml:space="preserve">Ιδιαίτερα όσον αφορά στο τομέα φρούτων/λαχανικών, τροφίμων/συσκευασμένων τροφίμων, </w:t>
      </w:r>
      <w:r>
        <w:rPr>
          <w:rFonts w:asciiTheme="majorHAnsi" w:hAnsiTheme="majorHAnsi"/>
        </w:rPr>
        <w:t xml:space="preserve">σημειώνονται </w:t>
      </w:r>
      <w:r w:rsidRPr="009B70AD">
        <w:rPr>
          <w:rFonts w:asciiTheme="majorHAnsi" w:hAnsiTheme="majorHAnsi"/>
          <w:b/>
        </w:rPr>
        <w:t>οι αυξήσεις</w:t>
      </w:r>
      <w:r w:rsidR="009B70AD" w:rsidRPr="009B70AD">
        <w:rPr>
          <w:rFonts w:asciiTheme="majorHAnsi" w:hAnsiTheme="majorHAnsi"/>
          <w:b/>
        </w:rPr>
        <w:t xml:space="preserve"> κατά</w:t>
      </w:r>
      <w:r>
        <w:rPr>
          <w:rFonts w:asciiTheme="majorHAnsi" w:hAnsiTheme="majorHAnsi"/>
        </w:rPr>
        <w:t xml:space="preserve"> </w:t>
      </w:r>
      <w:r w:rsidR="009B70AD" w:rsidRPr="009B70AD">
        <w:rPr>
          <w:rFonts w:asciiTheme="majorHAnsi" w:hAnsiTheme="majorHAnsi"/>
        </w:rPr>
        <w:t xml:space="preserve">: </w:t>
      </w:r>
      <w:r>
        <w:rPr>
          <w:rFonts w:asciiTheme="majorHAnsi" w:hAnsiTheme="majorHAnsi"/>
        </w:rPr>
        <w:t xml:space="preserve">10% στα Τυριά, 4,5% στο Ελαιόλαδο, 80% στα </w:t>
      </w:r>
      <w:r>
        <w:rPr>
          <w:rFonts w:asciiTheme="majorHAnsi" w:hAnsiTheme="majorHAnsi"/>
        </w:rPr>
        <w:lastRenderedPageBreak/>
        <w:t>Πεπόνια/Καρπούζια, 11% στα Λαχανικά/Φρούτα Παρασκευασμ</w:t>
      </w:r>
      <w:r w:rsidR="009B70AD">
        <w:rPr>
          <w:rFonts w:asciiTheme="majorHAnsi" w:hAnsiTheme="majorHAnsi"/>
        </w:rPr>
        <w:t xml:space="preserve">ένα, 67% στα Εσπεριδοειδή, 6,6% στο Γιαούρτι, 25% στα προϊόντα </w:t>
      </w:r>
      <w:proofErr w:type="spellStart"/>
      <w:r w:rsidR="009B70AD">
        <w:rPr>
          <w:rFonts w:asciiTheme="majorHAnsi" w:hAnsiTheme="majorHAnsi"/>
        </w:rPr>
        <w:t>Αρτοποιϊας</w:t>
      </w:r>
      <w:proofErr w:type="spellEnd"/>
      <w:r w:rsidR="009B70AD">
        <w:rPr>
          <w:rFonts w:asciiTheme="majorHAnsi" w:hAnsiTheme="majorHAnsi"/>
        </w:rPr>
        <w:t>/Ζαχαροπλαστικής, 60% στη Μπ</w:t>
      </w:r>
      <w:r w:rsidR="00A6600B">
        <w:rPr>
          <w:rFonts w:asciiTheme="majorHAnsi" w:hAnsiTheme="majorHAnsi"/>
        </w:rPr>
        <w:t xml:space="preserve">ίρα, </w:t>
      </w:r>
      <w:r w:rsidR="009B70AD">
        <w:rPr>
          <w:rFonts w:asciiTheme="majorHAnsi" w:hAnsiTheme="majorHAnsi"/>
        </w:rPr>
        <w:t>55% στο Μέλι κλπ.</w:t>
      </w:r>
      <w:r w:rsidR="009B70AD" w:rsidRPr="009B70AD">
        <w:rPr>
          <w:rFonts w:asciiTheme="majorHAnsi" w:hAnsiTheme="majorHAnsi"/>
        </w:rPr>
        <w:t xml:space="preserve"> </w:t>
      </w:r>
      <w:r w:rsidR="009B70AD">
        <w:rPr>
          <w:rFonts w:asciiTheme="majorHAnsi" w:hAnsiTheme="majorHAnsi"/>
        </w:rPr>
        <w:t xml:space="preserve">Παράλληλα σημειώνονται </w:t>
      </w:r>
      <w:r w:rsidR="009B70AD" w:rsidRPr="009B70AD">
        <w:rPr>
          <w:rFonts w:asciiTheme="majorHAnsi" w:hAnsiTheme="majorHAnsi"/>
          <w:b/>
        </w:rPr>
        <w:t>οι μειώσεις κατά</w:t>
      </w:r>
      <w:r w:rsidR="009B70AD">
        <w:rPr>
          <w:rFonts w:asciiTheme="majorHAnsi" w:hAnsiTheme="majorHAnsi"/>
        </w:rPr>
        <w:t xml:space="preserve"> </w:t>
      </w:r>
      <w:r w:rsidR="009B70AD" w:rsidRPr="00A6600B">
        <w:rPr>
          <w:rFonts w:asciiTheme="majorHAnsi" w:hAnsiTheme="majorHAnsi"/>
        </w:rPr>
        <w:t xml:space="preserve">: </w:t>
      </w:r>
      <w:r w:rsidR="009B70AD">
        <w:rPr>
          <w:rFonts w:asciiTheme="majorHAnsi" w:hAnsiTheme="majorHAnsi"/>
        </w:rPr>
        <w:t xml:space="preserve">23% στα Παγωτά, 11% στα Σταφύλια, </w:t>
      </w:r>
      <w:r w:rsidR="00A6600B">
        <w:rPr>
          <w:rFonts w:asciiTheme="majorHAnsi" w:hAnsiTheme="majorHAnsi"/>
        </w:rPr>
        <w:t>16% στα Κρασιά, 31% στο Ρύζι, 38% στα Ζυμαρικά κλπ.</w:t>
      </w:r>
    </w:p>
    <w:p w:rsidR="00E63F57" w:rsidRDefault="00E63F57" w:rsidP="00905C67">
      <w:pPr>
        <w:jc w:val="both"/>
        <w:rPr>
          <w:rFonts w:asciiTheme="majorHAnsi" w:hAnsiTheme="majorHAnsi"/>
        </w:rPr>
      </w:pPr>
    </w:p>
    <w:tbl>
      <w:tblPr>
        <w:tblW w:w="8670" w:type="dxa"/>
        <w:tblInd w:w="93" w:type="dxa"/>
        <w:tblLook w:val="04A0" w:firstRow="1" w:lastRow="0" w:firstColumn="1" w:lastColumn="0" w:noHBand="0" w:noVBand="1"/>
      </w:tblPr>
      <w:tblGrid>
        <w:gridCol w:w="760"/>
        <w:gridCol w:w="5390"/>
        <w:gridCol w:w="1338"/>
        <w:gridCol w:w="1338"/>
        <w:gridCol w:w="970"/>
      </w:tblGrid>
      <w:tr w:rsidR="00C56391" w:rsidRPr="00C56391" w:rsidTr="00C56391">
        <w:trPr>
          <w:trHeight w:val="3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ΕΞΑΓΩΓΕΣ ΣΤΗ ΣΟΥΗΔΙΑ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ΙΑΝ-ΑΥΓ 2017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ΙΑΝ-ΑΥΓ 2018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Αύξηση /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CN4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ΠΕΡΙΓΡΑΦΗ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ΑΞΙΑ_ΕΥΡΩ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ΑΞΙΑ_ΕΥΡΩ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Μείωση %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'2710'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Λάδια από πετρέλαιο ή από ασφαλτούχα ορυκτά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16.312.859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29.783.277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82,6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'0406'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Τυριά και πηγμένο γάλα για τυρί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18.033.746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19.853.894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10,1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'3903'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Πολυμερή του </w:t>
            </w:r>
            <w:proofErr w:type="spellStart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στυρολίου</w:t>
            </w:r>
            <w:proofErr w:type="spellEnd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 σε αρχικές μορφές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8.612.197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9.322.785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8,3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'2005'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Λαχανικά παρασκευασμένα ή διατηρημένα χωρίς ξίδι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7.834.207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8.068.372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'3004'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Φάρμακα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4.374.267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7.275.719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66,3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'3802'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Άνθρακες ενεργοποιημένοι. Φυσικές ορυκτές ύλες ενεργοποιημένες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6.862.550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7.085.051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3,2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'8544'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Σύρματα και καλώδια για ηλεκτροτεχνική χρήση,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1.262.539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5.532.957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338,2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'1509'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Ελαιόλαδο και τα κλάσματά του,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3.735.156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3.901.870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4,5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'7411'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Σωλήνες από χαλκό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2.345.351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3.788.585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61,5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'0807'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Πεπόνια, καρπούζια, και καρποί </w:t>
            </w:r>
            <w:proofErr w:type="spellStart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παπάγιας</w:t>
            </w:r>
            <w:proofErr w:type="spellEnd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, νωπά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2.024.756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3.656.123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80,6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'5603'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Υφάσματα μη υφασμένα, επιχρισμένα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3.065.253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3.490.850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13,9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'8431'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Μέρη για τις μηχανές και συσκευές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1.356.648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2.414.350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78,0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'2001'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Λαχανικά, καρποί και φρούτα παρασκευασμένα ή διατηρημένα με ξίδι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2.145.718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2.386.432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11,2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'8516'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Θερμαντήρες νερού και </w:t>
            </w:r>
            <w:proofErr w:type="spellStart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θερμοσυσκευές</w:t>
            </w:r>
            <w:proofErr w:type="spellEnd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5.236.486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2.132.001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-59,3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'0805'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Εσπεριδοειδή, νωπά ή ξερά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1.181.082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1.975.920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67,3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'8428'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Μηχανές και συσκευές για την ανύψωση, τη φόρτωση π.χ. ανελκυστήρες,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1.483.257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1.906.952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28,6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'2106'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Παρασκευάσματα διατροφής </w:t>
            </w:r>
            <w:proofErr w:type="spellStart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π.δ.κ.α</w:t>
            </w:r>
            <w:proofErr w:type="spellEnd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1.404.949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1.795.621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27,8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'3824'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Συνδετικά παρασκευασμένα για καλούπια ή πυρήνες χυτηρίου.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232.264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1.451.908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525,1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'6104'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Κουστούμια-ταγιέρ, </w:t>
            </w:r>
            <w:proofErr w:type="spellStart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σύνολα,ζακέτες</w:t>
            </w:r>
            <w:proofErr w:type="spellEnd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, φορέματα, φούστες,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1.311.446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1.351.924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3,1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'2008'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Καρποί και φρούτα παρασκευασμένα ή διατηρημένα, με ή χωρίς προσθήκη </w:t>
            </w:r>
            <w:proofErr w:type="spellStart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ζάχ</w:t>
            </w:r>
            <w:proofErr w:type="spellEnd"/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1.040.843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1.348.808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29,6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'2002'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Ντομάτες παρασκευασμένες ή διατηρημένες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1.219.934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1.243.395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1,9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'0809'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Βερίκοκα, κεράσια, ροδάκινα,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882.821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1.141.616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29,3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'9405'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Συσκευές φωτισμού (ό. </w:t>
            </w:r>
            <w:proofErr w:type="spellStart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συμπ</w:t>
            </w:r>
            <w:proofErr w:type="spellEnd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. οι προβολείς) και τα μέρη αυτών,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1.154.806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1.097.327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-5,0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'1901'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Εκχυλίσματα βύνης, καθώς και παρασκευάσματα διατροφής από αλεύρια,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1.333.543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1.063.704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-20,2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'2105'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Παγωτά, έστω και αν περιέχουν κακάο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1.346.007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1.035.984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-23,0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'0403'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Γιαούρτι,Βουτυρόγαλα</w:t>
            </w:r>
            <w:proofErr w:type="spellEnd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, πηγμένο γάλα και πηγμένη κρέμα, 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970.495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1.034.083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6,6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'0810'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Φράουλες, σμέουρα, βατόμουρα,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351.012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985.151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180,7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'0806'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Σταφύλια, νωπά ή ξερά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950.167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845.498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-11,0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'7606'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Ελάσματα και ταινίες, από αργίλιο,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902.086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794.424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-11,9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'1905'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Προϊόντα αρτοποιίας, ζαχαροπλαστικής ή μπισκοτοποιίας,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605.202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756.478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25,0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'3304'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Προϊόντα ομορφιάς ή φτιασιδώματος (μακιγιάζ)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552.231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753.796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36,5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'7117'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Απομιμήσεις κοσμημάτων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439.331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743.057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69,1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'5601'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Βάτες από υφαντικές ύλες και είδη από τις βάτες αυτές,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571.041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736.346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28,9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'9018'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Όργανα και συσκευές για ιατρική, χειρουργική, οδοντιατρική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755.011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723.012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-4,2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'6106'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Μπλούζες και μπλούζες-πουκάμισα </w:t>
            </w:r>
            <w:proofErr w:type="spellStart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σεμιζιέ</w:t>
            </w:r>
            <w:proofErr w:type="spellEnd"/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, πλεκτές, για γυναίκες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912.015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713.519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-21,8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   και επίσης όσον αφορά άλλα τρόφιμα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'2204'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Κρασιά από νωπά σταφύλια,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544.020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458.592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-15,7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'0302'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Ψάρια, βρώσιμα, νωπά ή διατηρημένα με απλή ψύξη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48.195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239.687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397,3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'1704'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Ζαχαρώδη προϊόντα χωρίς κακάο,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179.833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221.828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23,4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'1006'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Ρύζι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245.145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169.888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-30,7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'2203'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Μπίρα από βύνη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105.502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168.505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59,7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'0409'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Μέλι φυσικό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44.605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69.546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55,9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56391">
              <w:rPr>
                <w:rFonts w:ascii="Calibri" w:hAnsi="Calibri"/>
                <w:sz w:val="22"/>
                <w:szCs w:val="22"/>
              </w:rPr>
              <w:t>'2007'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sz w:val="22"/>
                <w:szCs w:val="22"/>
              </w:rPr>
            </w:pPr>
            <w:r w:rsidRPr="00C56391">
              <w:rPr>
                <w:rFonts w:ascii="Calibri" w:hAnsi="Calibri"/>
                <w:sz w:val="22"/>
                <w:szCs w:val="22"/>
              </w:rPr>
              <w:t xml:space="preserve">Γλυκά κουταλιού, ζελέδες, μαρμελάδες, πολτοί και πάστες καρπών και φρούτων,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56391">
              <w:rPr>
                <w:rFonts w:ascii="Calibri" w:hAnsi="Calibri"/>
                <w:sz w:val="22"/>
                <w:szCs w:val="22"/>
              </w:rPr>
              <w:t>9.107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56391">
              <w:rPr>
                <w:rFonts w:ascii="Calibri" w:hAnsi="Calibri"/>
                <w:sz w:val="22"/>
                <w:szCs w:val="22"/>
              </w:rPr>
              <w:t>51.959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470,5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56391">
              <w:rPr>
                <w:rFonts w:ascii="Calibri" w:hAnsi="Calibri"/>
                <w:sz w:val="22"/>
                <w:szCs w:val="22"/>
              </w:rPr>
              <w:t>'0901'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sz w:val="22"/>
                <w:szCs w:val="22"/>
              </w:rPr>
            </w:pPr>
            <w:r w:rsidRPr="00C56391">
              <w:rPr>
                <w:rFonts w:ascii="Calibri" w:hAnsi="Calibri"/>
                <w:sz w:val="22"/>
                <w:szCs w:val="22"/>
              </w:rPr>
              <w:t xml:space="preserve">Καφές, έστω και καβουρντισμένος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56391">
              <w:rPr>
                <w:rFonts w:ascii="Calibri" w:hAnsi="Calibri"/>
                <w:sz w:val="22"/>
                <w:szCs w:val="22"/>
              </w:rPr>
              <w:t>14.708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56391">
              <w:rPr>
                <w:rFonts w:ascii="Calibri" w:hAnsi="Calibri"/>
                <w:sz w:val="22"/>
                <w:szCs w:val="22"/>
              </w:rPr>
              <w:t>20.659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40,5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'1902'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 xml:space="preserve">Ζυμαρικά εν γένει έστω και ψημένα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33.362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20.656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-38,1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56391">
              <w:rPr>
                <w:rFonts w:ascii="Calibri" w:hAnsi="Calibri"/>
                <w:sz w:val="22"/>
                <w:szCs w:val="22"/>
              </w:rPr>
              <w:t>'2501'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rPr>
                <w:rFonts w:ascii="Calibri" w:hAnsi="Calibri"/>
                <w:sz w:val="22"/>
                <w:szCs w:val="22"/>
              </w:rPr>
            </w:pPr>
            <w:r w:rsidRPr="00C56391">
              <w:rPr>
                <w:rFonts w:ascii="Calibri" w:hAnsi="Calibri"/>
                <w:sz w:val="22"/>
                <w:szCs w:val="22"/>
              </w:rPr>
              <w:t xml:space="preserve">Αλάτι, στο οποίο περιλαμβάνεται το επιτραπέζιο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56391">
              <w:rPr>
                <w:rFonts w:ascii="Calibri" w:hAnsi="Calibri"/>
                <w:sz w:val="22"/>
                <w:szCs w:val="22"/>
              </w:rPr>
              <w:t>14.522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56391">
              <w:rPr>
                <w:rFonts w:ascii="Calibri" w:hAnsi="Calibri"/>
                <w:sz w:val="22"/>
                <w:szCs w:val="22"/>
              </w:rPr>
              <w:t>14.267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-1,8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56391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sz w:val="22"/>
                <w:szCs w:val="22"/>
              </w:rPr>
              <w:t>Σύνολο Ανωτέρω Προϊόντων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sz w:val="22"/>
                <w:szCs w:val="22"/>
              </w:rPr>
              <w:t>104.040.275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sz w:val="22"/>
                <w:szCs w:val="22"/>
              </w:rPr>
              <w:t>133.626.376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28,4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sz w:val="22"/>
                <w:szCs w:val="22"/>
              </w:rPr>
              <w:t>Λοιπά Εξαγόμενα Προϊόντα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23.913.697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16.870.984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-29,5</w:t>
            </w:r>
          </w:p>
        </w:tc>
      </w:tr>
      <w:tr w:rsidR="00C56391" w:rsidRPr="00C56391" w:rsidTr="00C5639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sz w:val="22"/>
                <w:szCs w:val="22"/>
              </w:rPr>
              <w:t xml:space="preserve">Σύνολο Αξίας Εξαγωγών 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127.953.972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6391" w:rsidRPr="00C56391" w:rsidRDefault="00C56391" w:rsidP="00C5639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150.497.360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756" w:rsidRPr="00C56391" w:rsidRDefault="00C56391" w:rsidP="00DA0756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5639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17,</w:t>
            </w:r>
            <w:r w:rsidR="00DA0756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</w:tbl>
    <w:p w:rsidR="00BE299D" w:rsidRDefault="00BE299D" w:rsidP="00AB1403">
      <w:pPr>
        <w:rPr>
          <w:rFonts w:asciiTheme="majorHAnsi" w:hAnsiTheme="majorHAnsi"/>
        </w:rPr>
      </w:pPr>
    </w:p>
    <w:p w:rsidR="004D6030" w:rsidRDefault="004D6030" w:rsidP="00AB1403">
      <w:pPr>
        <w:rPr>
          <w:rFonts w:asciiTheme="majorHAnsi" w:hAnsiTheme="majorHAnsi"/>
        </w:rPr>
      </w:pPr>
    </w:p>
    <w:p w:rsidR="00DA1574" w:rsidRDefault="008C0DC7" w:rsidP="00A6600B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B07677">
        <w:rPr>
          <w:rFonts w:asciiTheme="majorHAnsi" w:hAnsiTheme="majorHAnsi"/>
        </w:rPr>
        <w:t xml:space="preserve">Τέλος </w:t>
      </w:r>
      <w:r w:rsidR="00A6600B">
        <w:rPr>
          <w:rFonts w:asciiTheme="majorHAnsi" w:hAnsiTheme="majorHAnsi"/>
        </w:rPr>
        <w:t xml:space="preserve">σημειώνεται ότι </w:t>
      </w:r>
      <w:r w:rsidR="00B07677">
        <w:rPr>
          <w:rFonts w:asciiTheme="majorHAnsi" w:hAnsiTheme="majorHAnsi"/>
        </w:rPr>
        <w:t>όσον αφορά στις συνολικές ελληνικές εξαγωγές</w:t>
      </w:r>
      <w:r w:rsidR="00A6600B">
        <w:rPr>
          <w:rFonts w:asciiTheme="majorHAnsi" w:hAnsiTheme="majorHAnsi"/>
        </w:rPr>
        <w:t xml:space="preserve"> του 2017 ότι </w:t>
      </w:r>
      <w:r w:rsidR="00B07677">
        <w:rPr>
          <w:rFonts w:asciiTheme="majorHAnsi" w:hAnsiTheme="majorHAnsi"/>
        </w:rPr>
        <w:t>η Σουηδία κατατά</w:t>
      </w:r>
      <w:r w:rsidR="00DA1574">
        <w:rPr>
          <w:rFonts w:asciiTheme="majorHAnsi" w:hAnsiTheme="majorHAnsi"/>
        </w:rPr>
        <w:t>σ</w:t>
      </w:r>
      <w:r w:rsidR="00B07677">
        <w:rPr>
          <w:rFonts w:asciiTheme="majorHAnsi" w:hAnsiTheme="majorHAnsi"/>
        </w:rPr>
        <w:t>σεται στην 32</w:t>
      </w:r>
      <w:r w:rsidR="00B07677" w:rsidRPr="00B07677">
        <w:rPr>
          <w:rFonts w:asciiTheme="majorHAnsi" w:hAnsiTheme="majorHAnsi"/>
          <w:vertAlign w:val="superscript"/>
        </w:rPr>
        <w:t>η</w:t>
      </w:r>
      <w:r w:rsidR="00B07677">
        <w:rPr>
          <w:rFonts w:asciiTheme="majorHAnsi" w:hAnsiTheme="majorHAnsi"/>
        </w:rPr>
        <w:t xml:space="preserve"> θέση </w:t>
      </w:r>
      <w:r w:rsidR="00A6600B">
        <w:rPr>
          <w:rFonts w:asciiTheme="majorHAnsi" w:hAnsiTheme="majorHAnsi"/>
        </w:rPr>
        <w:t xml:space="preserve">μεταξύ </w:t>
      </w:r>
      <w:r w:rsidR="00B07677">
        <w:rPr>
          <w:rFonts w:asciiTheme="majorHAnsi" w:hAnsiTheme="majorHAnsi"/>
        </w:rPr>
        <w:t xml:space="preserve">των κυριότερων </w:t>
      </w:r>
      <w:r w:rsidR="00A6600B">
        <w:rPr>
          <w:rFonts w:asciiTheme="majorHAnsi" w:hAnsiTheme="majorHAnsi"/>
        </w:rPr>
        <w:t xml:space="preserve">ελληνικών </w:t>
      </w:r>
      <w:r w:rsidR="00B07677">
        <w:rPr>
          <w:rFonts w:asciiTheme="majorHAnsi" w:hAnsiTheme="majorHAnsi"/>
        </w:rPr>
        <w:t xml:space="preserve">εξαγωγικών προορισμών </w:t>
      </w:r>
      <w:r w:rsidR="00A6600B">
        <w:rPr>
          <w:rFonts w:asciiTheme="majorHAnsi" w:hAnsiTheme="majorHAnsi"/>
        </w:rPr>
        <w:t>παγκόσμια</w:t>
      </w:r>
      <w:r w:rsidR="00D123D7">
        <w:rPr>
          <w:rFonts w:asciiTheme="majorHAnsi" w:hAnsiTheme="majorHAnsi"/>
        </w:rPr>
        <w:t>, στην 16</w:t>
      </w:r>
      <w:r w:rsidR="00D123D7" w:rsidRPr="00D123D7">
        <w:rPr>
          <w:rFonts w:asciiTheme="majorHAnsi" w:hAnsiTheme="majorHAnsi"/>
          <w:vertAlign w:val="superscript"/>
        </w:rPr>
        <w:t>η</w:t>
      </w:r>
      <w:r w:rsidR="00D123D7">
        <w:rPr>
          <w:rFonts w:asciiTheme="majorHAnsi" w:hAnsiTheme="majorHAnsi"/>
        </w:rPr>
        <w:t xml:space="preserve"> θέση των προορισμών μεταξύ των Κ-Μ της ΕΕ </w:t>
      </w:r>
      <w:r w:rsidR="00A6600B">
        <w:rPr>
          <w:rFonts w:asciiTheme="majorHAnsi" w:hAnsiTheme="majorHAnsi"/>
        </w:rPr>
        <w:t xml:space="preserve"> </w:t>
      </w:r>
      <w:r w:rsidR="00B07677">
        <w:rPr>
          <w:rFonts w:asciiTheme="majorHAnsi" w:hAnsiTheme="majorHAnsi"/>
        </w:rPr>
        <w:t>και παρ</w:t>
      </w:r>
      <w:r w:rsidR="00716194">
        <w:rPr>
          <w:rFonts w:asciiTheme="majorHAnsi" w:hAnsiTheme="majorHAnsi"/>
        </w:rPr>
        <w:t>άλληλα στη πρώτη</w:t>
      </w:r>
      <w:r w:rsidR="00B07677">
        <w:rPr>
          <w:rFonts w:asciiTheme="majorHAnsi" w:hAnsiTheme="majorHAnsi"/>
        </w:rPr>
        <w:t xml:space="preserve"> θέση </w:t>
      </w:r>
      <w:r w:rsidR="00716194" w:rsidRPr="00A6600B">
        <w:rPr>
          <w:rFonts w:asciiTheme="majorHAnsi" w:hAnsiTheme="majorHAnsi"/>
        </w:rPr>
        <w:t>μαζί με τη Δανία</w:t>
      </w:r>
      <w:r w:rsidR="00716194">
        <w:rPr>
          <w:rFonts w:asciiTheme="majorHAnsi" w:hAnsiTheme="majorHAnsi"/>
        </w:rPr>
        <w:t xml:space="preserve"> </w:t>
      </w:r>
      <w:r w:rsidR="00B07677">
        <w:rPr>
          <w:rFonts w:asciiTheme="majorHAnsi" w:hAnsiTheme="majorHAnsi"/>
        </w:rPr>
        <w:t>μεταξύ των σκανδιναβικών χωρ</w:t>
      </w:r>
      <w:r w:rsidR="00DA1574">
        <w:rPr>
          <w:rFonts w:asciiTheme="majorHAnsi" w:hAnsiTheme="majorHAnsi"/>
        </w:rPr>
        <w:t xml:space="preserve">ών. </w:t>
      </w:r>
    </w:p>
    <w:p w:rsidR="00DA1574" w:rsidRDefault="00DA1574" w:rsidP="00AB1403">
      <w:pPr>
        <w:rPr>
          <w:rFonts w:asciiTheme="majorHAnsi" w:hAnsiTheme="majorHAnsi"/>
        </w:rPr>
      </w:pPr>
    </w:p>
    <w:p w:rsidR="00905C67" w:rsidRDefault="00905C67" w:rsidP="00DA1574">
      <w:pPr>
        <w:rPr>
          <w:rFonts w:asciiTheme="majorHAnsi" w:hAnsiTheme="majorHAnsi"/>
        </w:rPr>
      </w:pPr>
    </w:p>
    <w:p w:rsidR="00DA1574" w:rsidRPr="00BE299D" w:rsidRDefault="00DA1574" w:rsidP="00DA1574">
      <w:pPr>
        <w:rPr>
          <w:rFonts w:asciiTheme="majorHAnsi" w:hAnsiTheme="majorHAnsi"/>
        </w:rPr>
      </w:pPr>
    </w:p>
    <w:p w:rsidR="00FE5123" w:rsidRPr="00BE299D" w:rsidRDefault="00FE5123" w:rsidP="00BE299D">
      <w:pPr>
        <w:ind w:left="5103"/>
        <w:jc w:val="center"/>
        <w:rPr>
          <w:rFonts w:asciiTheme="majorHAnsi" w:hAnsiTheme="majorHAnsi"/>
        </w:rPr>
      </w:pPr>
      <w:r w:rsidRPr="00BE299D">
        <w:rPr>
          <w:rFonts w:asciiTheme="majorHAnsi" w:hAnsiTheme="majorHAnsi"/>
        </w:rPr>
        <w:t>Ο Προϊστάμενος</w:t>
      </w:r>
    </w:p>
    <w:p w:rsidR="00FE5123" w:rsidRPr="00BE299D" w:rsidRDefault="00FE5123" w:rsidP="00BE299D">
      <w:pPr>
        <w:ind w:left="5103"/>
        <w:jc w:val="center"/>
        <w:rPr>
          <w:rFonts w:asciiTheme="majorHAnsi" w:hAnsiTheme="majorHAnsi"/>
        </w:rPr>
      </w:pPr>
    </w:p>
    <w:p w:rsidR="00BE299D" w:rsidRPr="00BE299D" w:rsidRDefault="00BE299D" w:rsidP="00BE299D">
      <w:pPr>
        <w:ind w:left="5103"/>
        <w:jc w:val="center"/>
        <w:rPr>
          <w:rFonts w:asciiTheme="majorHAnsi" w:hAnsiTheme="majorHAnsi"/>
        </w:rPr>
      </w:pPr>
    </w:p>
    <w:p w:rsidR="00BE299D" w:rsidRPr="00BE299D" w:rsidRDefault="00FE5123" w:rsidP="00BE299D">
      <w:pPr>
        <w:ind w:left="5103"/>
        <w:jc w:val="center"/>
        <w:rPr>
          <w:rFonts w:asciiTheme="majorHAnsi" w:hAnsiTheme="majorHAnsi"/>
        </w:rPr>
      </w:pPr>
      <w:r w:rsidRPr="00BE299D">
        <w:rPr>
          <w:rFonts w:asciiTheme="majorHAnsi" w:hAnsiTheme="majorHAnsi"/>
        </w:rPr>
        <w:t xml:space="preserve">Παντελής </w:t>
      </w:r>
      <w:proofErr w:type="spellStart"/>
      <w:r w:rsidRPr="00BE299D">
        <w:rPr>
          <w:rFonts w:asciiTheme="majorHAnsi" w:hAnsiTheme="majorHAnsi"/>
        </w:rPr>
        <w:t>Γιαννούλης</w:t>
      </w:r>
      <w:proofErr w:type="spellEnd"/>
    </w:p>
    <w:p w:rsidR="00FE5123" w:rsidRPr="00BE299D" w:rsidRDefault="00FE5123" w:rsidP="00BE299D">
      <w:pPr>
        <w:ind w:left="5103"/>
        <w:jc w:val="center"/>
        <w:rPr>
          <w:rFonts w:asciiTheme="majorHAnsi" w:hAnsiTheme="majorHAnsi"/>
        </w:rPr>
      </w:pPr>
      <w:r w:rsidRPr="00BE299D">
        <w:rPr>
          <w:rFonts w:asciiTheme="majorHAnsi" w:hAnsiTheme="majorHAnsi"/>
        </w:rPr>
        <w:t>Σύμβουλος ΟΕΥ Α΄</w:t>
      </w:r>
    </w:p>
    <w:p w:rsidR="00A91CA3" w:rsidRDefault="00A91CA3" w:rsidP="00A91CA3">
      <w:pPr>
        <w:outlineLvl w:val="0"/>
        <w:rPr>
          <w:rFonts w:asciiTheme="majorHAnsi" w:hAnsiTheme="majorHAnsi" w:cs="Helvetica"/>
          <w:bCs/>
          <w:color w:val="000000"/>
        </w:rPr>
      </w:pPr>
    </w:p>
    <w:p w:rsidR="007C5002" w:rsidRDefault="007C5002" w:rsidP="00B62E6A">
      <w:pPr>
        <w:spacing w:before="120" w:after="120" w:line="360" w:lineRule="auto"/>
        <w:rPr>
          <w:rFonts w:asciiTheme="majorHAnsi" w:hAnsiTheme="majorHAnsi"/>
        </w:rPr>
      </w:pPr>
    </w:p>
    <w:p w:rsidR="00A6600B" w:rsidRDefault="00A6600B" w:rsidP="00B62E6A">
      <w:pPr>
        <w:spacing w:before="120" w:after="120" w:line="360" w:lineRule="auto"/>
        <w:rPr>
          <w:rFonts w:asciiTheme="majorHAnsi" w:hAnsiTheme="majorHAnsi"/>
        </w:rPr>
      </w:pPr>
    </w:p>
    <w:p w:rsidR="00A6600B" w:rsidRDefault="00A6600B" w:rsidP="00B62E6A">
      <w:pPr>
        <w:spacing w:before="120" w:after="120" w:line="360" w:lineRule="auto"/>
        <w:rPr>
          <w:rFonts w:asciiTheme="majorHAnsi" w:hAnsiTheme="majorHAnsi"/>
        </w:rPr>
      </w:pPr>
    </w:p>
    <w:p w:rsidR="00A6600B" w:rsidRPr="00657729" w:rsidRDefault="00A6600B" w:rsidP="00A6600B">
      <w:pPr>
        <w:outlineLvl w:val="0"/>
        <w:rPr>
          <w:rFonts w:asciiTheme="majorHAnsi" w:hAnsiTheme="majorHAnsi"/>
          <w:b/>
          <w:u w:val="single"/>
        </w:rPr>
      </w:pPr>
      <w:r w:rsidRPr="00657729">
        <w:rPr>
          <w:rFonts w:asciiTheme="majorHAnsi" w:hAnsiTheme="majorHAnsi"/>
          <w:b/>
          <w:u w:val="single"/>
        </w:rPr>
        <w:t>ΠΙΝΑΚΑΣ ΑΠΟΔΕΚΤΩΝ</w:t>
      </w:r>
    </w:p>
    <w:p w:rsidR="00A6600B" w:rsidRDefault="00A6600B" w:rsidP="00A6600B">
      <w:pPr>
        <w:ind w:left="175" w:hanging="175"/>
        <w:outlineLvl w:val="0"/>
        <w:rPr>
          <w:rFonts w:asciiTheme="majorHAnsi" w:hAnsiTheme="majorHAnsi"/>
        </w:rPr>
      </w:pPr>
    </w:p>
    <w:p w:rsidR="00A6600B" w:rsidRPr="00657729" w:rsidRDefault="00A6600B" w:rsidP="00A6600B">
      <w:pPr>
        <w:ind w:left="175" w:hanging="175"/>
        <w:outlineLvl w:val="0"/>
        <w:rPr>
          <w:rFonts w:asciiTheme="majorHAnsi" w:hAnsiTheme="majorHAnsi"/>
        </w:rPr>
      </w:pPr>
      <w:r w:rsidRPr="00657729">
        <w:rPr>
          <w:rFonts w:asciiTheme="majorHAnsi" w:hAnsiTheme="majorHAnsi"/>
        </w:rPr>
        <w:lastRenderedPageBreak/>
        <w:t>1. Υπουργείο Εξωτερικών</w:t>
      </w:r>
    </w:p>
    <w:p w:rsidR="00A6600B" w:rsidRPr="00BE299D" w:rsidRDefault="00A6600B" w:rsidP="00A6600B">
      <w:pPr>
        <w:ind w:left="175" w:hanging="175"/>
        <w:outlineLvl w:val="0"/>
        <w:rPr>
          <w:rFonts w:asciiTheme="majorHAnsi" w:hAnsiTheme="majorHAnsi"/>
        </w:rPr>
      </w:pPr>
      <w:r w:rsidRPr="00BE299D">
        <w:rPr>
          <w:rFonts w:asciiTheme="majorHAnsi" w:hAnsiTheme="majorHAnsi"/>
        </w:rPr>
        <w:t xml:space="preserve">- </w:t>
      </w:r>
      <w:proofErr w:type="spellStart"/>
      <w:r w:rsidRPr="00BE299D">
        <w:rPr>
          <w:rFonts w:asciiTheme="majorHAnsi" w:hAnsiTheme="majorHAnsi"/>
        </w:rPr>
        <w:t>Διπλ</w:t>
      </w:r>
      <w:proofErr w:type="spellEnd"/>
      <w:r w:rsidRPr="00BE299D">
        <w:rPr>
          <w:rFonts w:asciiTheme="majorHAnsi" w:hAnsiTheme="majorHAnsi"/>
        </w:rPr>
        <w:t xml:space="preserve">. Γραφείο κ. Υπουργού </w:t>
      </w:r>
    </w:p>
    <w:p w:rsidR="00A6600B" w:rsidRPr="00BE299D" w:rsidRDefault="00A6600B" w:rsidP="00A6600B">
      <w:pPr>
        <w:ind w:left="175" w:hanging="175"/>
        <w:outlineLvl w:val="0"/>
        <w:rPr>
          <w:rFonts w:asciiTheme="majorHAnsi" w:hAnsiTheme="majorHAnsi"/>
        </w:rPr>
      </w:pPr>
      <w:r w:rsidRPr="00BE299D">
        <w:rPr>
          <w:rFonts w:asciiTheme="majorHAnsi" w:hAnsiTheme="majorHAnsi"/>
        </w:rPr>
        <w:t xml:space="preserve">- </w:t>
      </w:r>
      <w:proofErr w:type="spellStart"/>
      <w:r w:rsidRPr="00BE299D">
        <w:rPr>
          <w:rFonts w:asciiTheme="majorHAnsi" w:hAnsiTheme="majorHAnsi"/>
        </w:rPr>
        <w:t>Διπλ</w:t>
      </w:r>
      <w:proofErr w:type="spellEnd"/>
      <w:r w:rsidRPr="00BE299D">
        <w:rPr>
          <w:rFonts w:asciiTheme="majorHAnsi" w:hAnsiTheme="majorHAnsi"/>
        </w:rPr>
        <w:t xml:space="preserve">. Γραφείο κ. </w:t>
      </w:r>
      <w:r>
        <w:rPr>
          <w:rFonts w:asciiTheme="majorHAnsi" w:hAnsiTheme="majorHAnsi"/>
        </w:rPr>
        <w:t>ΑΝΥΠΕΞ</w:t>
      </w:r>
    </w:p>
    <w:p w:rsidR="00A6600B" w:rsidRPr="00BE299D" w:rsidRDefault="00A6600B" w:rsidP="00A6600B">
      <w:pPr>
        <w:ind w:left="175" w:hanging="175"/>
        <w:outlineLvl w:val="0"/>
        <w:rPr>
          <w:rFonts w:asciiTheme="majorHAnsi" w:hAnsiTheme="majorHAnsi"/>
        </w:rPr>
      </w:pPr>
      <w:r w:rsidRPr="00BE299D">
        <w:rPr>
          <w:rFonts w:asciiTheme="majorHAnsi" w:hAnsiTheme="majorHAnsi"/>
        </w:rPr>
        <w:t xml:space="preserve">- Γραφείο κ. Γεν. Γραμματέα ΔΟΣ </w:t>
      </w:r>
      <w:r w:rsidRPr="00BE299D">
        <w:rPr>
          <w:rFonts w:asciiTheme="majorHAnsi" w:hAnsiTheme="majorHAnsi" w:cs="Calibri"/>
          <w:bCs/>
        </w:rPr>
        <w:t>&amp; ΑΣ</w:t>
      </w:r>
    </w:p>
    <w:p w:rsidR="00A6600B" w:rsidRPr="00BE299D" w:rsidRDefault="00D123D7" w:rsidP="00A6600B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- Γραφείο κας Β΄ Γεν. Δ/ντριας</w:t>
      </w:r>
    </w:p>
    <w:p w:rsidR="00A6600B" w:rsidRPr="005366C9" w:rsidRDefault="00A6600B" w:rsidP="00A6600B">
      <w:pPr>
        <w:outlineLvl w:val="0"/>
        <w:rPr>
          <w:rFonts w:asciiTheme="majorHAnsi" w:hAnsiTheme="majorHAnsi"/>
          <w:lang w:val="en-US"/>
        </w:rPr>
      </w:pPr>
      <w:r w:rsidRPr="005366C9">
        <w:rPr>
          <w:rFonts w:asciiTheme="majorHAnsi" w:hAnsiTheme="majorHAnsi"/>
          <w:lang w:val="en-US"/>
        </w:rPr>
        <w:t xml:space="preserve">- </w:t>
      </w:r>
      <w:r>
        <w:rPr>
          <w:rFonts w:asciiTheme="majorHAnsi" w:hAnsiTheme="majorHAnsi"/>
          <w:lang w:val="en-US"/>
        </w:rPr>
        <w:t xml:space="preserve">A1, </w:t>
      </w:r>
      <w:r>
        <w:rPr>
          <w:rFonts w:asciiTheme="majorHAnsi" w:hAnsiTheme="majorHAnsi"/>
        </w:rPr>
        <w:t>Β</w:t>
      </w:r>
      <w:r w:rsidRPr="005366C9">
        <w:rPr>
          <w:rFonts w:asciiTheme="majorHAnsi" w:hAnsiTheme="majorHAnsi"/>
          <w:lang w:val="en-US"/>
        </w:rPr>
        <w:t xml:space="preserve">1 </w:t>
      </w:r>
      <w:r w:rsidRPr="005366C9">
        <w:rPr>
          <w:rFonts w:asciiTheme="majorHAnsi" w:hAnsiTheme="majorHAnsi" w:cs="Calibri"/>
          <w:bCs/>
          <w:lang w:val="en-US"/>
        </w:rPr>
        <w:t>&amp;</w:t>
      </w:r>
      <w:r w:rsidRPr="005366C9">
        <w:rPr>
          <w:rFonts w:asciiTheme="majorHAnsi" w:hAnsiTheme="majorHAnsi" w:cs="Calibri"/>
          <w:b/>
          <w:bCs/>
          <w:lang w:val="en-US"/>
        </w:rPr>
        <w:t xml:space="preserve"> </w:t>
      </w:r>
      <w:r>
        <w:rPr>
          <w:rFonts w:asciiTheme="majorHAnsi" w:hAnsiTheme="majorHAnsi"/>
        </w:rPr>
        <w:t>Β</w:t>
      </w:r>
      <w:r w:rsidRPr="005366C9">
        <w:rPr>
          <w:rFonts w:asciiTheme="majorHAnsi" w:hAnsiTheme="majorHAnsi"/>
          <w:lang w:val="en-US"/>
        </w:rPr>
        <w:t xml:space="preserve">8 </w:t>
      </w:r>
      <w:r>
        <w:rPr>
          <w:rFonts w:asciiTheme="majorHAnsi" w:hAnsiTheme="majorHAnsi"/>
        </w:rPr>
        <w:t>Δ</w:t>
      </w:r>
      <w:r w:rsidRPr="005366C9">
        <w:rPr>
          <w:rFonts w:asciiTheme="majorHAnsi" w:hAnsiTheme="majorHAnsi"/>
          <w:lang w:val="en-US"/>
        </w:rPr>
        <w:t>/</w:t>
      </w:r>
      <w:proofErr w:type="spellStart"/>
      <w:r>
        <w:rPr>
          <w:rFonts w:asciiTheme="majorHAnsi" w:hAnsiTheme="majorHAnsi"/>
        </w:rPr>
        <w:t>νσεις</w:t>
      </w:r>
      <w:proofErr w:type="spellEnd"/>
    </w:p>
    <w:p w:rsidR="00A6600B" w:rsidRPr="005366C9" w:rsidRDefault="00A6600B" w:rsidP="00A6600B">
      <w:pPr>
        <w:outlineLvl w:val="0"/>
        <w:rPr>
          <w:rFonts w:asciiTheme="majorHAnsi" w:hAnsiTheme="majorHAnsi"/>
          <w:lang w:val="en-US"/>
        </w:rPr>
      </w:pPr>
    </w:p>
    <w:p w:rsidR="00A6600B" w:rsidRPr="00A6600B" w:rsidRDefault="00A6600B" w:rsidP="00A6600B">
      <w:pPr>
        <w:outlineLvl w:val="0"/>
        <w:rPr>
          <w:rFonts w:asciiTheme="majorHAnsi" w:hAnsiTheme="majorHAnsi"/>
          <w:lang w:val="en-US"/>
        </w:rPr>
      </w:pPr>
      <w:r w:rsidRPr="00A6600B">
        <w:rPr>
          <w:rFonts w:asciiTheme="majorHAnsi" w:hAnsiTheme="majorHAnsi"/>
          <w:lang w:val="en-US"/>
        </w:rPr>
        <w:t xml:space="preserve">2. </w:t>
      </w:r>
      <w:r>
        <w:rPr>
          <w:rFonts w:asciiTheme="majorHAnsi" w:hAnsiTheme="majorHAnsi"/>
          <w:lang w:val="en-US"/>
        </w:rPr>
        <w:t>Enterprise</w:t>
      </w:r>
      <w:r w:rsidRPr="00A6600B"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  <w:lang w:val="en-US"/>
        </w:rPr>
        <w:t>Greece</w:t>
      </w:r>
    </w:p>
    <w:p w:rsidR="00A6600B" w:rsidRPr="00A6600B" w:rsidRDefault="00A6600B" w:rsidP="00A6600B">
      <w:pPr>
        <w:outlineLvl w:val="0"/>
        <w:rPr>
          <w:rFonts w:asciiTheme="majorHAnsi" w:hAnsiTheme="majorHAnsi"/>
          <w:lang w:val="en-US"/>
        </w:rPr>
      </w:pPr>
    </w:p>
    <w:p w:rsidR="00A6600B" w:rsidRPr="00D56119" w:rsidRDefault="00A6600B" w:rsidP="00A6600B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3. Πανελλήνιος Σύνδεσμος Εξαγωγέων</w:t>
      </w:r>
    </w:p>
    <w:p w:rsidR="00A6600B" w:rsidRDefault="00A6600B" w:rsidP="00A6600B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4. Σύνδεσμος Εξαγωγέων </w:t>
      </w:r>
      <w:proofErr w:type="spellStart"/>
      <w:r>
        <w:rPr>
          <w:rFonts w:asciiTheme="majorHAnsi" w:hAnsiTheme="majorHAnsi"/>
        </w:rPr>
        <w:t>Β.Ελλάδος</w:t>
      </w:r>
      <w:proofErr w:type="spellEnd"/>
    </w:p>
    <w:p w:rsidR="00A6600B" w:rsidRDefault="00A6600B" w:rsidP="00A6600B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5. Σύνδεσμος Εξαγωγέων Κρήτης</w:t>
      </w:r>
    </w:p>
    <w:p w:rsidR="00A6600B" w:rsidRPr="008834A7" w:rsidRDefault="00A6600B" w:rsidP="00A6600B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 </w:t>
      </w:r>
      <w:r>
        <w:rPr>
          <w:rFonts w:asciiTheme="majorHAnsi" w:hAnsiTheme="majorHAnsi"/>
          <w:lang w:val="en-US"/>
        </w:rPr>
        <w:t>INCOFRUIT</w:t>
      </w:r>
    </w:p>
    <w:p w:rsidR="00A6600B" w:rsidRPr="005366C9" w:rsidRDefault="00A6600B" w:rsidP="00A6600B">
      <w:pPr>
        <w:outlineLvl w:val="0"/>
        <w:rPr>
          <w:rFonts w:asciiTheme="majorHAnsi" w:hAnsiTheme="majorHAnsi"/>
        </w:rPr>
      </w:pPr>
    </w:p>
    <w:p w:rsidR="00A6600B" w:rsidRDefault="00A6600B" w:rsidP="00A6600B">
      <w:pPr>
        <w:outlineLvl w:val="0"/>
        <w:rPr>
          <w:rFonts w:asciiTheme="majorHAnsi" w:hAnsiTheme="majorHAnsi"/>
        </w:rPr>
      </w:pPr>
      <w:r w:rsidRPr="008834A7">
        <w:rPr>
          <w:rFonts w:asciiTheme="majorHAnsi" w:hAnsiTheme="majorHAnsi"/>
        </w:rPr>
        <w:t>7</w:t>
      </w:r>
      <w:r>
        <w:rPr>
          <w:rFonts w:asciiTheme="majorHAnsi" w:hAnsiTheme="majorHAnsi"/>
        </w:rPr>
        <w:t>. ΣΕΒ</w:t>
      </w:r>
    </w:p>
    <w:p w:rsidR="00A6600B" w:rsidRDefault="00A6600B" w:rsidP="00A6600B">
      <w:pPr>
        <w:outlineLvl w:val="0"/>
        <w:rPr>
          <w:rFonts w:asciiTheme="majorHAnsi" w:hAnsiTheme="majorHAnsi"/>
        </w:rPr>
      </w:pPr>
      <w:r w:rsidRPr="008834A7">
        <w:rPr>
          <w:rFonts w:asciiTheme="majorHAnsi" w:hAnsiTheme="majorHAnsi"/>
        </w:rPr>
        <w:t>8</w:t>
      </w:r>
      <w:r>
        <w:rPr>
          <w:rFonts w:asciiTheme="majorHAnsi" w:hAnsiTheme="majorHAnsi"/>
        </w:rPr>
        <w:t>. ΣΒΒΕ</w:t>
      </w:r>
    </w:p>
    <w:p w:rsidR="00A6600B" w:rsidRDefault="00A6600B" w:rsidP="00A6600B">
      <w:pPr>
        <w:outlineLvl w:val="0"/>
        <w:rPr>
          <w:rFonts w:asciiTheme="majorHAnsi" w:hAnsiTheme="majorHAnsi"/>
        </w:rPr>
      </w:pPr>
      <w:r w:rsidRPr="008834A7">
        <w:rPr>
          <w:rFonts w:asciiTheme="majorHAnsi" w:hAnsiTheme="majorHAnsi"/>
        </w:rPr>
        <w:t>9</w:t>
      </w:r>
      <w:r>
        <w:rPr>
          <w:rFonts w:asciiTheme="majorHAnsi" w:hAnsiTheme="majorHAnsi"/>
        </w:rPr>
        <w:t>. ΠΑΣΕΓΕΣ</w:t>
      </w:r>
    </w:p>
    <w:p w:rsidR="00A6600B" w:rsidRDefault="00A6600B" w:rsidP="00A6600B">
      <w:pPr>
        <w:outlineLvl w:val="0"/>
        <w:rPr>
          <w:rFonts w:asciiTheme="majorHAnsi" w:hAnsiTheme="majorHAnsi"/>
        </w:rPr>
      </w:pPr>
      <w:r w:rsidRPr="008834A7">
        <w:rPr>
          <w:rFonts w:asciiTheme="majorHAnsi" w:hAnsiTheme="majorHAnsi"/>
        </w:rPr>
        <w:t>10</w:t>
      </w:r>
      <w:r>
        <w:rPr>
          <w:rFonts w:asciiTheme="majorHAnsi" w:hAnsiTheme="majorHAnsi"/>
        </w:rPr>
        <w:t>. Κ.Ε.Ε.</w:t>
      </w:r>
    </w:p>
    <w:p w:rsidR="00A6600B" w:rsidRDefault="00A6600B" w:rsidP="00A6600B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Pr="008834A7">
        <w:rPr>
          <w:rFonts w:asciiTheme="majorHAnsi" w:hAnsiTheme="majorHAnsi"/>
        </w:rPr>
        <w:t>1</w:t>
      </w:r>
      <w:r>
        <w:rPr>
          <w:rFonts w:asciiTheme="majorHAnsi" w:hAnsiTheme="majorHAnsi"/>
        </w:rPr>
        <w:t>. ΕΒΕΑ</w:t>
      </w:r>
    </w:p>
    <w:p w:rsidR="00A6600B" w:rsidRDefault="00A6600B" w:rsidP="00A6600B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Pr="008834A7">
        <w:rPr>
          <w:rFonts w:asciiTheme="majorHAnsi" w:hAnsiTheme="majorHAnsi"/>
        </w:rPr>
        <w:t>2</w:t>
      </w:r>
      <w:r>
        <w:rPr>
          <w:rFonts w:asciiTheme="majorHAnsi" w:hAnsiTheme="majorHAnsi"/>
        </w:rPr>
        <w:t>.ΕΒΕΠ</w:t>
      </w:r>
    </w:p>
    <w:p w:rsidR="00A6600B" w:rsidRDefault="00A6600B" w:rsidP="00A6600B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Pr="008834A7">
        <w:rPr>
          <w:rFonts w:asciiTheme="majorHAnsi" w:hAnsiTheme="majorHAnsi"/>
        </w:rPr>
        <w:t>3</w:t>
      </w:r>
      <w:r>
        <w:rPr>
          <w:rFonts w:asciiTheme="majorHAnsi" w:hAnsiTheme="majorHAnsi"/>
        </w:rPr>
        <w:t>.ΕΒΕΘ</w:t>
      </w:r>
    </w:p>
    <w:p w:rsidR="00A6600B" w:rsidRDefault="00A6600B" w:rsidP="00A6600B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Pr="008834A7">
        <w:rPr>
          <w:rFonts w:asciiTheme="majorHAnsi" w:hAnsiTheme="majorHAnsi"/>
        </w:rPr>
        <w:t>4</w:t>
      </w:r>
      <w:r>
        <w:rPr>
          <w:rFonts w:asciiTheme="majorHAnsi" w:hAnsiTheme="majorHAnsi"/>
        </w:rPr>
        <w:t>. ΕΒΕΠ</w:t>
      </w:r>
    </w:p>
    <w:p w:rsidR="00A6600B" w:rsidRDefault="00A6600B" w:rsidP="00A6600B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Pr="008834A7">
        <w:rPr>
          <w:rFonts w:asciiTheme="majorHAnsi" w:hAnsiTheme="majorHAnsi"/>
        </w:rPr>
        <w:t>5</w:t>
      </w:r>
      <w:r>
        <w:rPr>
          <w:rFonts w:asciiTheme="majorHAnsi" w:hAnsiTheme="majorHAnsi"/>
        </w:rPr>
        <w:t>.ΕΒΕΗ</w:t>
      </w:r>
    </w:p>
    <w:p w:rsidR="00A6600B" w:rsidRDefault="00A6600B" w:rsidP="00A6600B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Pr="008834A7">
        <w:rPr>
          <w:rFonts w:asciiTheme="majorHAnsi" w:hAnsiTheme="majorHAnsi"/>
        </w:rPr>
        <w:t>6</w:t>
      </w:r>
      <w:r>
        <w:rPr>
          <w:rFonts w:asciiTheme="majorHAnsi" w:hAnsiTheme="majorHAnsi"/>
        </w:rPr>
        <w:t>. ΕΒΕΜ</w:t>
      </w:r>
    </w:p>
    <w:p w:rsidR="00A6600B" w:rsidRDefault="00A6600B" w:rsidP="00A6600B">
      <w:pPr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>
        <w:rPr>
          <w:rFonts w:asciiTheme="majorHAnsi" w:hAnsiTheme="majorHAnsi"/>
          <w:lang w:val="en-US"/>
        </w:rPr>
        <w:t>7</w:t>
      </w:r>
      <w:r>
        <w:rPr>
          <w:rFonts w:asciiTheme="majorHAnsi" w:hAnsiTheme="majorHAnsi"/>
        </w:rPr>
        <w:t>.ΕΒΕΛ</w:t>
      </w:r>
    </w:p>
    <w:p w:rsidR="00A6600B" w:rsidRPr="00F20735" w:rsidRDefault="00A6600B" w:rsidP="00B62E6A">
      <w:pPr>
        <w:spacing w:before="120" w:after="120" w:line="360" w:lineRule="auto"/>
        <w:rPr>
          <w:rFonts w:asciiTheme="majorHAnsi" w:hAnsiTheme="majorHAnsi"/>
        </w:rPr>
      </w:pPr>
    </w:p>
    <w:sectPr w:rsidR="00A6600B" w:rsidRPr="00F20735" w:rsidSect="00DD703C">
      <w:headerReference w:type="default" r:id="rId10"/>
      <w:footerReference w:type="default" r:id="rId11"/>
      <w:footerReference w:type="first" r:id="rId12"/>
      <w:pgSz w:w="11906" w:h="16838" w:code="9"/>
      <w:pgMar w:top="823" w:right="1134" w:bottom="567" w:left="851" w:header="567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BA4" w:rsidRDefault="006F1BA4">
      <w:r>
        <w:separator/>
      </w:r>
    </w:p>
  </w:endnote>
  <w:endnote w:type="continuationSeparator" w:id="0">
    <w:p w:rsidR="006F1BA4" w:rsidRDefault="006F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 Narrow"/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00B" w:rsidRDefault="00A6600B" w:rsidP="00FE5123">
    <w:pPr>
      <w:pStyle w:val="a4"/>
    </w:pPr>
  </w:p>
  <w:p w:rsidR="00A6600B" w:rsidRDefault="00A6600B" w:rsidP="00FE5123">
    <w:pPr>
      <w:pStyle w:val="a4"/>
    </w:pPr>
  </w:p>
  <w:p w:rsidR="00A6600B" w:rsidRPr="00FE5123" w:rsidRDefault="00A6600B" w:rsidP="00FE5123">
    <w:pPr>
      <w:pStyle w:val="a4"/>
      <w:rPr>
        <w:rFonts w:asciiTheme="majorHAnsi" w:hAnsiTheme="majorHAnsi" w:cs="Arial"/>
        <w:sz w:val="20"/>
        <w:szCs w:val="20"/>
        <w:lang w:val="sv-SE"/>
      </w:rPr>
    </w:pPr>
    <w:r>
      <w:t xml:space="preserve">   </w:t>
    </w:r>
    <w:r w:rsidRPr="00FE5123">
      <w:rPr>
        <w:rFonts w:asciiTheme="majorHAnsi" w:hAnsiTheme="majorHAnsi" w:cs="Arial"/>
        <w:sz w:val="20"/>
        <w:szCs w:val="20"/>
        <w:lang w:val="sv-SE"/>
      </w:rPr>
      <w:t xml:space="preserve">Kommendorsgatan 16, 114 48 Stockholm, Tel. </w:t>
    </w:r>
    <w:r w:rsidRPr="00FE5123">
      <w:rPr>
        <w:rFonts w:asciiTheme="majorHAnsi" w:hAnsiTheme="majorHAnsi" w:cs="Arial"/>
        <w:sz w:val="20"/>
        <w:szCs w:val="20"/>
        <w:lang w:val="sv-SE"/>
      </w:rPr>
      <w:t xml:space="preserve">0046-8-54566016, </w:t>
    </w:r>
    <w:r w:rsidRPr="00FE5123">
      <w:rPr>
        <w:rFonts w:asciiTheme="majorHAnsi" w:hAnsiTheme="majorHAnsi" w:cs="Arial"/>
        <w:sz w:val="20"/>
        <w:szCs w:val="20"/>
        <w:lang w:val="en-US"/>
      </w:rPr>
      <w:t xml:space="preserve">E-mail </w:t>
    </w:r>
    <w:r w:rsidRPr="00FE5123">
      <w:rPr>
        <w:rFonts w:asciiTheme="majorHAnsi" w:hAnsiTheme="majorHAnsi"/>
        <w:sz w:val="20"/>
        <w:szCs w:val="20"/>
        <w:lang w:val="en-US"/>
      </w:rPr>
      <w:t>: commerce.stockholm@mfa.gr</w:t>
    </w:r>
  </w:p>
  <w:p w:rsidR="00A6600B" w:rsidRDefault="00A6600B" w:rsidP="00AF2F39">
    <w:pPr>
      <w:pStyle w:val="a4"/>
      <w:jc w:val="center"/>
    </w:pPr>
    <w:bookmarkStart w:id="9" w:name="Α_Π_ΦΑΚΕΛΟΥ_3"/>
    <w:bookmarkEnd w:id="9"/>
    <w:r>
      <w:t>__________________________________________________________________________</w:t>
    </w:r>
  </w:p>
  <w:p w:rsidR="00A6600B" w:rsidRDefault="00A6600B" w:rsidP="00AF2F39">
    <w:pPr>
      <w:pStyle w:val="a4"/>
      <w:jc w:val="right"/>
      <w:rPr>
        <w:b/>
        <w:bCs/>
        <w:sz w:val="18"/>
        <w:szCs w:val="18"/>
        <w:lang w:val="en-US"/>
      </w:rPr>
    </w:pPr>
    <w:r w:rsidRPr="0007708B">
      <w:rPr>
        <w:rFonts w:ascii="Calibri" w:hAnsi="Calibri" w:cs="Calibri"/>
        <w:bCs/>
      </w:rPr>
      <w:t xml:space="preserve"> </w:t>
    </w:r>
    <w:r w:rsidRPr="007815B9">
      <w:rPr>
        <w:sz w:val="18"/>
        <w:szCs w:val="18"/>
      </w:rPr>
      <w:t xml:space="preserve">Σελίδα </w:t>
    </w:r>
    <w:r w:rsidRPr="007815B9">
      <w:rPr>
        <w:b/>
        <w:bCs/>
        <w:sz w:val="18"/>
        <w:szCs w:val="18"/>
      </w:rPr>
      <w:fldChar w:fldCharType="begin"/>
    </w:r>
    <w:r w:rsidRPr="007815B9">
      <w:rPr>
        <w:b/>
        <w:bCs/>
        <w:sz w:val="18"/>
        <w:szCs w:val="18"/>
      </w:rPr>
      <w:instrText xml:space="preserve"> PAGE </w:instrText>
    </w:r>
    <w:r w:rsidRPr="007815B9">
      <w:rPr>
        <w:b/>
        <w:bCs/>
        <w:sz w:val="18"/>
        <w:szCs w:val="18"/>
      </w:rPr>
      <w:fldChar w:fldCharType="separate"/>
    </w:r>
    <w:r w:rsidR="00DB0B53">
      <w:rPr>
        <w:b/>
        <w:bCs/>
        <w:noProof/>
        <w:sz w:val="18"/>
        <w:szCs w:val="18"/>
      </w:rPr>
      <w:t>4</w:t>
    </w:r>
    <w:r w:rsidRPr="007815B9">
      <w:rPr>
        <w:b/>
        <w:bCs/>
        <w:sz w:val="18"/>
        <w:szCs w:val="18"/>
      </w:rPr>
      <w:fldChar w:fldCharType="end"/>
    </w:r>
    <w:r w:rsidRPr="007815B9">
      <w:rPr>
        <w:sz w:val="18"/>
        <w:szCs w:val="18"/>
      </w:rPr>
      <w:t xml:space="preserve"> από </w:t>
    </w:r>
    <w:r w:rsidRPr="007815B9">
      <w:rPr>
        <w:b/>
        <w:bCs/>
        <w:sz w:val="18"/>
        <w:szCs w:val="18"/>
      </w:rPr>
      <w:fldChar w:fldCharType="begin"/>
    </w:r>
    <w:r w:rsidRPr="007815B9">
      <w:rPr>
        <w:b/>
        <w:bCs/>
        <w:sz w:val="18"/>
        <w:szCs w:val="18"/>
      </w:rPr>
      <w:instrText xml:space="preserve"> NUMPAGES  </w:instrText>
    </w:r>
    <w:r w:rsidRPr="007815B9">
      <w:rPr>
        <w:b/>
        <w:bCs/>
        <w:sz w:val="18"/>
        <w:szCs w:val="18"/>
      </w:rPr>
      <w:fldChar w:fldCharType="separate"/>
    </w:r>
    <w:r w:rsidR="00DB0B53">
      <w:rPr>
        <w:b/>
        <w:bCs/>
        <w:noProof/>
        <w:sz w:val="18"/>
        <w:szCs w:val="18"/>
      </w:rPr>
      <w:t>4</w:t>
    </w:r>
    <w:r w:rsidRPr="007815B9">
      <w:rPr>
        <w:b/>
        <w:bCs/>
        <w:sz w:val="18"/>
        <w:szCs w:val="18"/>
      </w:rPr>
      <w:fldChar w:fldCharType="end"/>
    </w:r>
  </w:p>
  <w:p w:rsidR="00A6600B" w:rsidRPr="00FE5123" w:rsidRDefault="00A6600B" w:rsidP="00FE5123">
    <w:pPr>
      <w:pStyle w:val="a4"/>
      <w:jc w:val="center"/>
      <w:rPr>
        <w:b/>
        <w:bCs/>
        <w:lang w:val="sv-SE"/>
      </w:rPr>
    </w:pPr>
  </w:p>
  <w:p w:rsidR="00A6600B" w:rsidRPr="007B132B" w:rsidRDefault="00A6600B" w:rsidP="00FD2075">
    <w:pPr>
      <w:pStyle w:val="a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00B" w:rsidRDefault="00A6600B" w:rsidP="00FE5123">
    <w:pPr>
      <w:pStyle w:val="a4"/>
      <w:rPr>
        <w:rFonts w:asciiTheme="majorHAnsi" w:hAnsiTheme="majorHAnsi" w:cs="Arial"/>
        <w:sz w:val="20"/>
        <w:szCs w:val="20"/>
      </w:rPr>
    </w:pPr>
    <w:r>
      <w:rPr>
        <w:rFonts w:asciiTheme="majorHAnsi" w:hAnsiTheme="majorHAnsi" w:cs="Arial"/>
        <w:sz w:val="20"/>
        <w:szCs w:val="20"/>
      </w:rPr>
      <w:t xml:space="preserve">   </w:t>
    </w:r>
  </w:p>
  <w:p w:rsidR="00A6600B" w:rsidRDefault="00A6600B" w:rsidP="00FE5123">
    <w:pPr>
      <w:pStyle w:val="a4"/>
      <w:rPr>
        <w:rFonts w:asciiTheme="majorHAnsi" w:hAnsiTheme="majorHAnsi" w:cs="Arial"/>
        <w:sz w:val="20"/>
        <w:szCs w:val="20"/>
      </w:rPr>
    </w:pPr>
  </w:p>
  <w:p w:rsidR="00A6600B" w:rsidRPr="00A121A2" w:rsidRDefault="00A6600B" w:rsidP="00FE5123">
    <w:pPr>
      <w:pStyle w:val="a4"/>
      <w:rPr>
        <w:rFonts w:asciiTheme="majorHAnsi" w:hAnsiTheme="majorHAnsi" w:cs="Arial"/>
        <w:sz w:val="20"/>
        <w:szCs w:val="20"/>
        <w:lang w:val="sv-SE"/>
      </w:rPr>
    </w:pPr>
    <w:r>
      <w:rPr>
        <w:rFonts w:asciiTheme="majorHAnsi" w:hAnsiTheme="majorHAnsi" w:cs="Arial"/>
        <w:sz w:val="20"/>
        <w:szCs w:val="20"/>
      </w:rPr>
      <w:t xml:space="preserve">    </w:t>
    </w:r>
    <w:r w:rsidRPr="00A121A2">
      <w:rPr>
        <w:rFonts w:asciiTheme="majorHAnsi" w:hAnsiTheme="majorHAnsi" w:cs="Arial"/>
        <w:sz w:val="20"/>
        <w:szCs w:val="20"/>
        <w:lang w:val="sv-SE"/>
      </w:rPr>
      <w:t xml:space="preserve">Kommendorsgatan 16, 114 48 Stockholm, Tel. </w:t>
    </w:r>
    <w:r w:rsidRPr="00A121A2">
      <w:rPr>
        <w:rFonts w:asciiTheme="majorHAnsi" w:hAnsiTheme="majorHAnsi" w:cs="Arial"/>
        <w:sz w:val="20"/>
        <w:szCs w:val="20"/>
        <w:lang w:val="sv-SE"/>
      </w:rPr>
      <w:t xml:space="preserve">0046-8-54566016, </w:t>
    </w:r>
    <w:r w:rsidRPr="00A121A2">
      <w:rPr>
        <w:rFonts w:asciiTheme="majorHAnsi" w:hAnsiTheme="majorHAnsi" w:cs="Arial"/>
        <w:sz w:val="20"/>
        <w:szCs w:val="20"/>
        <w:lang w:val="en-US"/>
      </w:rPr>
      <w:t xml:space="preserve">E-mail </w:t>
    </w:r>
    <w:r w:rsidRPr="00A121A2">
      <w:rPr>
        <w:rFonts w:asciiTheme="majorHAnsi" w:hAnsiTheme="majorHAnsi"/>
        <w:sz w:val="20"/>
        <w:szCs w:val="20"/>
        <w:lang w:val="en-US"/>
      </w:rPr>
      <w:t>: commerce.stockholm@mfa.gr</w:t>
    </w:r>
  </w:p>
  <w:p w:rsidR="00A6600B" w:rsidRPr="00FE5123" w:rsidRDefault="00A6600B" w:rsidP="00FE5123">
    <w:pPr>
      <w:pStyle w:val="a4"/>
      <w:pBdr>
        <w:top w:val="thinThickSmallGap" w:sz="24" w:space="1" w:color="622423"/>
      </w:pBdr>
      <w:tabs>
        <w:tab w:val="clear" w:pos="4320"/>
        <w:tab w:val="clear" w:pos="8640"/>
        <w:tab w:val="right" w:pos="9638"/>
      </w:tabs>
      <w:rPr>
        <w:rFonts w:ascii="Cambria" w:hAnsi="Cambria"/>
        <w:lang w:val="en-US"/>
      </w:rPr>
    </w:pPr>
    <w:r w:rsidRPr="00FE5123">
      <w:rPr>
        <w:rFonts w:ascii="Cambria" w:hAnsi="Cambria"/>
        <w:lang w:val="en-US"/>
      </w:rPr>
      <w:tab/>
      <w:t xml:space="preserve">Page </w:t>
    </w:r>
    <w:r>
      <w:fldChar w:fldCharType="begin"/>
    </w:r>
    <w:r w:rsidRPr="00FE5123">
      <w:rPr>
        <w:lang w:val="en-US"/>
      </w:rPr>
      <w:instrText xml:space="preserve"> PAGE   \* MERGEFORMAT </w:instrText>
    </w:r>
    <w:r>
      <w:fldChar w:fldCharType="separate"/>
    </w:r>
    <w:r w:rsidR="00DB0B53" w:rsidRPr="00DB0B53">
      <w:rPr>
        <w:rFonts w:ascii="Cambria" w:hAnsi="Cambria"/>
        <w:noProof/>
        <w:lang w:val="en-US"/>
      </w:rPr>
      <w:t>1</w:t>
    </w:r>
    <w:r>
      <w:fldChar w:fldCharType="end"/>
    </w:r>
  </w:p>
  <w:p w:rsidR="00A6600B" w:rsidRPr="00FE5123" w:rsidRDefault="00A6600B" w:rsidP="00FD2075">
    <w:pPr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BA4" w:rsidRDefault="006F1BA4">
      <w:r>
        <w:separator/>
      </w:r>
    </w:p>
  </w:footnote>
  <w:footnote w:type="continuationSeparator" w:id="0">
    <w:p w:rsidR="006F1BA4" w:rsidRDefault="006F1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00B" w:rsidRPr="00EA6818" w:rsidRDefault="00A6600B" w:rsidP="00C47AA1">
    <w:pPr>
      <w:pStyle w:val="a3"/>
      <w:jc w:val="center"/>
      <w:rPr>
        <w:b/>
        <w:bCs/>
        <w:lang w:val="en-US"/>
      </w:rPr>
    </w:pPr>
    <w:r>
      <w:rPr>
        <w:b/>
        <w:bCs/>
        <w:lang w:val="en-US"/>
      </w:rPr>
      <w:t>¯¯¯¯¯¯¯¯¯¯¯¯¯¯¯¯¯¯¯¯¯¯¯¯¯¯¯¯¯¯¯¯¯¯¯¯¯¯¯¯¯¯¯¯¯¯¯¯¯¯¯¯¯¯¯¯¯¯¯¯¯¯¯¯¯¯¯¯¯¯¯¯¯¯¯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578A"/>
    <w:multiLevelType w:val="hybridMultilevel"/>
    <w:tmpl w:val="503A49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C69E5"/>
    <w:multiLevelType w:val="hybridMultilevel"/>
    <w:tmpl w:val="C5FE5D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E5365"/>
    <w:multiLevelType w:val="hybridMultilevel"/>
    <w:tmpl w:val="1494EBA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C87D26"/>
    <w:multiLevelType w:val="hybridMultilevel"/>
    <w:tmpl w:val="C6D6A5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41A0A"/>
    <w:multiLevelType w:val="hybridMultilevel"/>
    <w:tmpl w:val="75A83EFC"/>
    <w:lvl w:ilvl="0" w:tplc="0408000F">
      <w:start w:val="1"/>
      <w:numFmt w:val="decimal"/>
      <w:lvlText w:val="%1."/>
      <w:lvlJc w:val="left"/>
      <w:pPr>
        <w:ind w:left="1620" w:hanging="360"/>
      </w:p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9405FA2"/>
    <w:multiLevelType w:val="hybridMultilevel"/>
    <w:tmpl w:val="0B7842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C6E3B"/>
    <w:multiLevelType w:val="hybridMultilevel"/>
    <w:tmpl w:val="15CECFB6"/>
    <w:lvl w:ilvl="0" w:tplc="C3121C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31F3A"/>
    <w:multiLevelType w:val="hybridMultilevel"/>
    <w:tmpl w:val="49CA3D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313F0"/>
    <w:multiLevelType w:val="hybridMultilevel"/>
    <w:tmpl w:val="0262E7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31730"/>
    <w:multiLevelType w:val="hybridMultilevel"/>
    <w:tmpl w:val="F4028F6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C93"/>
    <w:rsid w:val="00003524"/>
    <w:rsid w:val="0001075E"/>
    <w:rsid w:val="000241D1"/>
    <w:rsid w:val="00030520"/>
    <w:rsid w:val="0003198B"/>
    <w:rsid w:val="00052A18"/>
    <w:rsid w:val="000602D2"/>
    <w:rsid w:val="0007708B"/>
    <w:rsid w:val="00081AF2"/>
    <w:rsid w:val="0008703E"/>
    <w:rsid w:val="00095571"/>
    <w:rsid w:val="00095604"/>
    <w:rsid w:val="000A37B1"/>
    <w:rsid w:val="000C6F33"/>
    <w:rsid w:val="000C714C"/>
    <w:rsid w:val="000D742A"/>
    <w:rsid w:val="00103FAD"/>
    <w:rsid w:val="00104AD7"/>
    <w:rsid w:val="0012143B"/>
    <w:rsid w:val="001343E5"/>
    <w:rsid w:val="0014676E"/>
    <w:rsid w:val="0015584F"/>
    <w:rsid w:val="00161D5C"/>
    <w:rsid w:val="00182BDA"/>
    <w:rsid w:val="001A4DC1"/>
    <w:rsid w:val="001B7181"/>
    <w:rsid w:val="001E4E6E"/>
    <w:rsid w:val="001F0909"/>
    <w:rsid w:val="001F6CC1"/>
    <w:rsid w:val="00203B30"/>
    <w:rsid w:val="0022625D"/>
    <w:rsid w:val="00233438"/>
    <w:rsid w:val="0023668E"/>
    <w:rsid w:val="00253768"/>
    <w:rsid w:val="00254E5C"/>
    <w:rsid w:val="00257B89"/>
    <w:rsid w:val="00274201"/>
    <w:rsid w:val="00287711"/>
    <w:rsid w:val="00290797"/>
    <w:rsid w:val="002919FE"/>
    <w:rsid w:val="002A4BE2"/>
    <w:rsid w:val="002B629F"/>
    <w:rsid w:val="002B731E"/>
    <w:rsid w:val="002D1295"/>
    <w:rsid w:val="002D502A"/>
    <w:rsid w:val="002F2A2B"/>
    <w:rsid w:val="00302C08"/>
    <w:rsid w:val="003044DB"/>
    <w:rsid w:val="003044F2"/>
    <w:rsid w:val="00321FEC"/>
    <w:rsid w:val="003305FA"/>
    <w:rsid w:val="003316F4"/>
    <w:rsid w:val="00336FE1"/>
    <w:rsid w:val="00346B7F"/>
    <w:rsid w:val="00357015"/>
    <w:rsid w:val="00360D07"/>
    <w:rsid w:val="00377D3A"/>
    <w:rsid w:val="003823BD"/>
    <w:rsid w:val="00387DB1"/>
    <w:rsid w:val="00394F59"/>
    <w:rsid w:val="003A0934"/>
    <w:rsid w:val="003A66FA"/>
    <w:rsid w:val="003B2027"/>
    <w:rsid w:val="003C4635"/>
    <w:rsid w:val="003D0A36"/>
    <w:rsid w:val="003D142C"/>
    <w:rsid w:val="003E4840"/>
    <w:rsid w:val="004149B3"/>
    <w:rsid w:val="00422E1D"/>
    <w:rsid w:val="00423F32"/>
    <w:rsid w:val="00433F82"/>
    <w:rsid w:val="00434665"/>
    <w:rsid w:val="00447D8F"/>
    <w:rsid w:val="00455E0F"/>
    <w:rsid w:val="0046160D"/>
    <w:rsid w:val="00463403"/>
    <w:rsid w:val="00481B4F"/>
    <w:rsid w:val="004876A6"/>
    <w:rsid w:val="00496B98"/>
    <w:rsid w:val="004A1E87"/>
    <w:rsid w:val="004A59F1"/>
    <w:rsid w:val="004A7DBB"/>
    <w:rsid w:val="004C3F1C"/>
    <w:rsid w:val="004D49DB"/>
    <w:rsid w:val="004D6030"/>
    <w:rsid w:val="004E4B7B"/>
    <w:rsid w:val="004F1C8A"/>
    <w:rsid w:val="00504BA4"/>
    <w:rsid w:val="00516CE7"/>
    <w:rsid w:val="005366C9"/>
    <w:rsid w:val="00551909"/>
    <w:rsid w:val="0056119F"/>
    <w:rsid w:val="0057772A"/>
    <w:rsid w:val="005A23AC"/>
    <w:rsid w:val="005B1ADB"/>
    <w:rsid w:val="005C044A"/>
    <w:rsid w:val="005D68AE"/>
    <w:rsid w:val="005F2A2F"/>
    <w:rsid w:val="00604892"/>
    <w:rsid w:val="00612CC5"/>
    <w:rsid w:val="006203FA"/>
    <w:rsid w:val="00620703"/>
    <w:rsid w:val="0062659C"/>
    <w:rsid w:val="00640324"/>
    <w:rsid w:val="0064639E"/>
    <w:rsid w:val="00655982"/>
    <w:rsid w:val="0065742A"/>
    <w:rsid w:val="00657729"/>
    <w:rsid w:val="006659C5"/>
    <w:rsid w:val="0068219F"/>
    <w:rsid w:val="00685482"/>
    <w:rsid w:val="006938CA"/>
    <w:rsid w:val="006B58D3"/>
    <w:rsid w:val="006B5C41"/>
    <w:rsid w:val="006C3156"/>
    <w:rsid w:val="006C40FF"/>
    <w:rsid w:val="006C4CF3"/>
    <w:rsid w:val="006D6284"/>
    <w:rsid w:val="006D7D50"/>
    <w:rsid w:val="006E5039"/>
    <w:rsid w:val="006F1BA4"/>
    <w:rsid w:val="006F23D1"/>
    <w:rsid w:val="00715AC7"/>
    <w:rsid w:val="00716194"/>
    <w:rsid w:val="007251D4"/>
    <w:rsid w:val="007251F9"/>
    <w:rsid w:val="0072766E"/>
    <w:rsid w:val="00733AC9"/>
    <w:rsid w:val="00753BE7"/>
    <w:rsid w:val="00754C03"/>
    <w:rsid w:val="0075724A"/>
    <w:rsid w:val="007631AE"/>
    <w:rsid w:val="0076342C"/>
    <w:rsid w:val="007702CC"/>
    <w:rsid w:val="00772AF0"/>
    <w:rsid w:val="00780126"/>
    <w:rsid w:val="007815B9"/>
    <w:rsid w:val="007A104F"/>
    <w:rsid w:val="007A5461"/>
    <w:rsid w:val="007B132B"/>
    <w:rsid w:val="007C04A6"/>
    <w:rsid w:val="007C057E"/>
    <w:rsid w:val="007C10AE"/>
    <w:rsid w:val="007C5002"/>
    <w:rsid w:val="007C5606"/>
    <w:rsid w:val="007C7DA0"/>
    <w:rsid w:val="007E23F6"/>
    <w:rsid w:val="007F4F83"/>
    <w:rsid w:val="0080131A"/>
    <w:rsid w:val="008243C9"/>
    <w:rsid w:val="00824E4F"/>
    <w:rsid w:val="00851056"/>
    <w:rsid w:val="00852EA8"/>
    <w:rsid w:val="008834A7"/>
    <w:rsid w:val="008841F4"/>
    <w:rsid w:val="008A0C92"/>
    <w:rsid w:val="008A1B55"/>
    <w:rsid w:val="008C0DC7"/>
    <w:rsid w:val="008D604C"/>
    <w:rsid w:val="00905C67"/>
    <w:rsid w:val="00912C88"/>
    <w:rsid w:val="00912E39"/>
    <w:rsid w:val="009431E9"/>
    <w:rsid w:val="00956DDF"/>
    <w:rsid w:val="00966D83"/>
    <w:rsid w:val="00980FBC"/>
    <w:rsid w:val="00983323"/>
    <w:rsid w:val="009B70AD"/>
    <w:rsid w:val="009D6A78"/>
    <w:rsid w:val="009F5F34"/>
    <w:rsid w:val="00A121A2"/>
    <w:rsid w:val="00A31D8C"/>
    <w:rsid w:val="00A3581B"/>
    <w:rsid w:val="00A47830"/>
    <w:rsid w:val="00A51E17"/>
    <w:rsid w:val="00A57BFA"/>
    <w:rsid w:val="00A65BEA"/>
    <w:rsid w:val="00A6600B"/>
    <w:rsid w:val="00A702D4"/>
    <w:rsid w:val="00A91CA3"/>
    <w:rsid w:val="00AB1403"/>
    <w:rsid w:val="00AB3D81"/>
    <w:rsid w:val="00AD6AA7"/>
    <w:rsid w:val="00AE0398"/>
    <w:rsid w:val="00AE3923"/>
    <w:rsid w:val="00AF2F39"/>
    <w:rsid w:val="00B07677"/>
    <w:rsid w:val="00B1288A"/>
    <w:rsid w:val="00B16EF4"/>
    <w:rsid w:val="00B2026F"/>
    <w:rsid w:val="00B22E33"/>
    <w:rsid w:val="00B24059"/>
    <w:rsid w:val="00B35C7F"/>
    <w:rsid w:val="00B378F0"/>
    <w:rsid w:val="00B52AA4"/>
    <w:rsid w:val="00B570A8"/>
    <w:rsid w:val="00B62E6A"/>
    <w:rsid w:val="00B648AC"/>
    <w:rsid w:val="00B81DD0"/>
    <w:rsid w:val="00B8224D"/>
    <w:rsid w:val="00B85DBD"/>
    <w:rsid w:val="00B92481"/>
    <w:rsid w:val="00B928B4"/>
    <w:rsid w:val="00BC00CE"/>
    <w:rsid w:val="00BC3E74"/>
    <w:rsid w:val="00BD2F3E"/>
    <w:rsid w:val="00BD309E"/>
    <w:rsid w:val="00BE111D"/>
    <w:rsid w:val="00BE299D"/>
    <w:rsid w:val="00BE4A71"/>
    <w:rsid w:val="00C21489"/>
    <w:rsid w:val="00C21CA9"/>
    <w:rsid w:val="00C22060"/>
    <w:rsid w:val="00C47AA1"/>
    <w:rsid w:val="00C56391"/>
    <w:rsid w:val="00C8005C"/>
    <w:rsid w:val="00C94784"/>
    <w:rsid w:val="00CA4193"/>
    <w:rsid w:val="00CD0C93"/>
    <w:rsid w:val="00CD72B4"/>
    <w:rsid w:val="00CD7713"/>
    <w:rsid w:val="00CF22C5"/>
    <w:rsid w:val="00D05F7D"/>
    <w:rsid w:val="00D078BB"/>
    <w:rsid w:val="00D07C03"/>
    <w:rsid w:val="00D123D7"/>
    <w:rsid w:val="00D138ED"/>
    <w:rsid w:val="00D14278"/>
    <w:rsid w:val="00D16F1D"/>
    <w:rsid w:val="00D2078B"/>
    <w:rsid w:val="00D32B4D"/>
    <w:rsid w:val="00D45A8E"/>
    <w:rsid w:val="00D46325"/>
    <w:rsid w:val="00D56119"/>
    <w:rsid w:val="00D8246C"/>
    <w:rsid w:val="00DA0756"/>
    <w:rsid w:val="00DA1574"/>
    <w:rsid w:val="00DB0B53"/>
    <w:rsid w:val="00DC36D4"/>
    <w:rsid w:val="00DD703C"/>
    <w:rsid w:val="00DE0849"/>
    <w:rsid w:val="00DE567A"/>
    <w:rsid w:val="00DF31ED"/>
    <w:rsid w:val="00E268C6"/>
    <w:rsid w:val="00E312A1"/>
    <w:rsid w:val="00E41C16"/>
    <w:rsid w:val="00E4674D"/>
    <w:rsid w:val="00E5554C"/>
    <w:rsid w:val="00E557B0"/>
    <w:rsid w:val="00E63F57"/>
    <w:rsid w:val="00E66757"/>
    <w:rsid w:val="00E67CEE"/>
    <w:rsid w:val="00E81FB3"/>
    <w:rsid w:val="00E90501"/>
    <w:rsid w:val="00E94176"/>
    <w:rsid w:val="00EA6818"/>
    <w:rsid w:val="00EA6EAF"/>
    <w:rsid w:val="00EA70A1"/>
    <w:rsid w:val="00EB0EE7"/>
    <w:rsid w:val="00EC2275"/>
    <w:rsid w:val="00ED01DF"/>
    <w:rsid w:val="00ED58AB"/>
    <w:rsid w:val="00EF6C6B"/>
    <w:rsid w:val="00F05976"/>
    <w:rsid w:val="00F20735"/>
    <w:rsid w:val="00F33D2A"/>
    <w:rsid w:val="00F41E95"/>
    <w:rsid w:val="00F42C50"/>
    <w:rsid w:val="00F76E5A"/>
    <w:rsid w:val="00FA1BDA"/>
    <w:rsid w:val="00FB3416"/>
    <w:rsid w:val="00FD2075"/>
    <w:rsid w:val="00FD2148"/>
    <w:rsid w:val="00FD5D22"/>
    <w:rsid w:val="00FE5123"/>
    <w:rsid w:val="00FE60ED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648AC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B648AC"/>
    <w:rPr>
      <w:sz w:val="24"/>
      <w:szCs w:val="24"/>
      <w:lang w:val="el-GR" w:eastAsia="el-GR"/>
    </w:rPr>
  </w:style>
  <w:style w:type="paragraph" w:styleId="a4">
    <w:name w:val="footer"/>
    <w:basedOn w:val="a"/>
    <w:link w:val="Char0"/>
    <w:uiPriority w:val="99"/>
    <w:rsid w:val="00B648AC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B648AC"/>
    <w:rPr>
      <w:sz w:val="24"/>
      <w:szCs w:val="24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EB0EE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B0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2A2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E5123"/>
    <w:pPr>
      <w:spacing w:before="100" w:beforeAutospacing="1" w:after="100" w:afterAutospacing="1"/>
    </w:pPr>
  </w:style>
  <w:style w:type="character" w:styleId="-">
    <w:name w:val="Hyperlink"/>
    <w:uiPriority w:val="99"/>
    <w:unhideWhenUsed/>
    <w:rsid w:val="00FE51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8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B648AC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B648AC"/>
    <w:rPr>
      <w:sz w:val="24"/>
      <w:szCs w:val="24"/>
      <w:lang w:val="el-GR" w:eastAsia="el-GR"/>
    </w:rPr>
  </w:style>
  <w:style w:type="paragraph" w:styleId="a4">
    <w:name w:val="footer"/>
    <w:basedOn w:val="a"/>
    <w:link w:val="Char0"/>
    <w:uiPriority w:val="99"/>
    <w:rsid w:val="00B648AC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B648AC"/>
    <w:rPr>
      <w:sz w:val="24"/>
      <w:szCs w:val="24"/>
      <w:lang w:val="el-GR"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EB0EE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B0E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2A2F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E5123"/>
    <w:pPr>
      <w:spacing w:before="100" w:beforeAutospacing="1" w:after="100" w:afterAutospacing="1"/>
    </w:pPr>
  </w:style>
  <w:style w:type="character" w:styleId="-">
    <w:name w:val="Hyperlink"/>
    <w:uiPriority w:val="99"/>
    <w:unhideWhenUsed/>
    <w:rsid w:val="00FE5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21\Desktop\&#917;&#915;&#915;&#929;&#913;&#934;&#913;-&#927;&#922;&#932;-2017\2017%20&#931;&#967;&#949;&#948;&#953;&#959;%20&#927;&#917;&#93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947EF-7539-4A11-B97F-420CDFE0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Σχεδιο ΟΕΥ.dot</Template>
  <TotalTime>0</TotalTime>
  <Pages>4</Pages>
  <Words>1100</Words>
  <Characters>5941</Characters>
  <Application>Microsoft Office Word</Application>
  <DocSecurity>0</DocSecurity>
  <Lines>49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MFA</Company>
  <LinksUpToDate>false</LinksUpToDate>
  <CharactersWithSpaces>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User121</dc:creator>
  <cp:lastModifiedBy>user</cp:lastModifiedBy>
  <cp:revision>2</cp:revision>
  <cp:lastPrinted>2018-10-15T11:04:00Z</cp:lastPrinted>
  <dcterms:created xsi:type="dcterms:W3CDTF">2018-10-19T06:03:00Z</dcterms:created>
  <dcterms:modified xsi:type="dcterms:W3CDTF">2018-10-19T06:03:00Z</dcterms:modified>
</cp:coreProperties>
</file>